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F70656" w14:paraId="646F7230" w14:textId="77777777" w:rsidTr="007762B5">
        <w:trPr>
          <w:trHeight w:val="983"/>
        </w:trPr>
        <w:tc>
          <w:tcPr>
            <w:tcW w:w="9016" w:type="dxa"/>
            <w:gridSpan w:val="2"/>
            <w:shd w:val="clear" w:color="auto" w:fill="153D63" w:themeFill="text2" w:themeFillTint="E6"/>
            <w:vAlign w:val="bottom"/>
          </w:tcPr>
          <w:p w14:paraId="51DE9E65" w14:textId="24AA87B0" w:rsidR="00F70656" w:rsidRPr="00C309BD" w:rsidRDefault="00F70656" w:rsidP="007762B5">
            <w:pPr>
              <w:pStyle w:val="Title"/>
              <w:spacing w:before="360"/>
              <w:jc w:val="center"/>
              <w:rPr>
                <w:rFonts w:ascii="Aptos Display" w:eastAsia="Times New Roman" w:hAnsi="Aptos Display" w:cs="Times New Roman"/>
                <w:sz w:val="36"/>
                <w:szCs w:val="36"/>
              </w:rPr>
            </w:pPr>
            <w:r w:rsidRPr="00C309BD">
              <w:rPr>
                <w:rFonts w:ascii="Aptos Display" w:eastAsia="Times New Roman" w:hAnsi="Aptos Display" w:cs="Times New Roman"/>
                <w:sz w:val="36"/>
                <w:szCs w:val="36"/>
              </w:rPr>
              <w:t>Insert dep</w:t>
            </w:r>
            <w:r w:rsidR="005641E1">
              <w:rPr>
                <w:rFonts w:ascii="Aptos Display" w:eastAsia="Times New Roman" w:hAnsi="Aptos Display" w:cs="Times New Roman"/>
                <w:sz w:val="36"/>
                <w:szCs w:val="36"/>
              </w:rPr>
              <w:t>artment</w:t>
            </w:r>
            <w:r w:rsidRPr="00C309BD">
              <w:rPr>
                <w:rFonts w:ascii="Aptos Display" w:eastAsia="Times New Roman" w:hAnsi="Aptos Display" w:cs="Times New Roman"/>
                <w:sz w:val="36"/>
                <w:szCs w:val="36"/>
              </w:rPr>
              <w:t xml:space="preserve"> name</w:t>
            </w:r>
            <w:r w:rsidRPr="00C309BD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28576E8" wp14:editId="552F4C51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899160" cy="912495"/>
                  <wp:effectExtent l="0" t="0" r="0" b="1905"/>
                  <wp:wrapSquare wrapText="bothSides"/>
                  <wp:docPr id="7" name="Picture 5" descr="P1C1T1#y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" descr="P1C1T1#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0656" w14:paraId="1FFBC4CE" w14:textId="77777777" w:rsidTr="007762B5">
        <w:tc>
          <w:tcPr>
            <w:tcW w:w="9016" w:type="dxa"/>
            <w:gridSpan w:val="2"/>
            <w:shd w:val="clear" w:color="auto" w:fill="83CAEB" w:themeFill="accent1" w:themeFillTint="66"/>
          </w:tcPr>
          <w:p w14:paraId="227C920D" w14:textId="77777777" w:rsidR="00F70656" w:rsidRPr="00804946" w:rsidRDefault="00F70656" w:rsidP="007762B5">
            <w:pPr>
              <w:jc w:val="center"/>
              <w:rPr>
                <w:b/>
                <w:bCs/>
                <w:sz w:val="22"/>
                <w:szCs w:val="22"/>
              </w:rPr>
            </w:pPr>
            <w:r w:rsidRPr="00804946">
              <w:rPr>
                <w:b/>
                <w:bCs/>
                <w:sz w:val="22"/>
                <w:szCs w:val="22"/>
              </w:rPr>
              <w:t>STANDARD OPERATING PROCEDURE</w:t>
            </w:r>
          </w:p>
        </w:tc>
      </w:tr>
      <w:tr w:rsidR="00F70656" w14:paraId="2E384BDA" w14:textId="77777777" w:rsidTr="007762B5">
        <w:tc>
          <w:tcPr>
            <w:tcW w:w="9016" w:type="dxa"/>
            <w:gridSpan w:val="2"/>
          </w:tcPr>
          <w:p w14:paraId="18B9E2A3" w14:textId="2E33CD08" w:rsidR="00F70656" w:rsidRPr="00DD6D43" w:rsidRDefault="004362D1" w:rsidP="007762B5">
            <w:r>
              <w:rPr>
                <w:b/>
                <w:bCs/>
              </w:rPr>
              <w:t>Transport of potentially biohazardous material</w:t>
            </w:r>
            <w:r w:rsidR="00F70656" w:rsidRPr="00DD6D43">
              <w:rPr>
                <w:b/>
                <w:bCs/>
              </w:rPr>
              <w:t xml:space="preserve"> </w:t>
            </w:r>
          </w:p>
        </w:tc>
      </w:tr>
      <w:tr w:rsidR="00F70656" w14:paraId="4A47677E" w14:textId="77777777" w:rsidTr="007762B5">
        <w:tc>
          <w:tcPr>
            <w:tcW w:w="4508" w:type="dxa"/>
          </w:tcPr>
          <w:p w14:paraId="40C2AC5B" w14:textId="77777777" w:rsidR="00F70656" w:rsidRPr="00804946" w:rsidRDefault="00F70656" w:rsidP="007762B5">
            <w:pPr>
              <w:rPr>
                <w:sz w:val="22"/>
                <w:szCs w:val="22"/>
              </w:rPr>
            </w:pPr>
            <w:r w:rsidRPr="00C702F9">
              <w:rPr>
                <w:color w:val="C00000"/>
                <w:sz w:val="22"/>
                <w:szCs w:val="22"/>
              </w:rPr>
              <w:t>Insert unique SOP code/nr</w:t>
            </w:r>
          </w:p>
        </w:tc>
        <w:tc>
          <w:tcPr>
            <w:tcW w:w="4508" w:type="dxa"/>
          </w:tcPr>
          <w:p w14:paraId="075B07D0" w14:textId="783E59FE" w:rsidR="00F70656" w:rsidRPr="00FA6A42" w:rsidRDefault="00F70656" w:rsidP="007762B5">
            <w:pPr>
              <w:rPr>
                <w:sz w:val="22"/>
                <w:szCs w:val="22"/>
              </w:rPr>
            </w:pPr>
            <w:r w:rsidRPr="00FA6A42">
              <w:fldChar w:fldCharType="begin"/>
            </w:r>
            <w:r w:rsidRPr="00FA6A42">
              <w:rPr>
                <w:sz w:val="22"/>
                <w:szCs w:val="22"/>
              </w:rPr>
              <w:instrText xml:space="preserve"> PAGE  \* Arabic  \* MERGEFORMAT </w:instrText>
            </w:r>
            <w:r w:rsidRPr="00FA6A42">
              <w:fldChar w:fldCharType="separate"/>
            </w:r>
            <w:r w:rsidRPr="00FA6A42">
              <w:rPr>
                <w:noProof/>
                <w:sz w:val="22"/>
                <w:szCs w:val="22"/>
              </w:rPr>
              <w:t>1</w:t>
            </w:r>
            <w:r w:rsidRPr="00FA6A42">
              <w:fldChar w:fldCharType="end"/>
            </w:r>
            <w:r w:rsidRPr="00FA6A42">
              <w:rPr>
                <w:sz w:val="22"/>
                <w:szCs w:val="22"/>
              </w:rPr>
              <w:t xml:space="preserve"> of </w:t>
            </w:r>
            <w:r w:rsidR="00EB6008">
              <w:rPr>
                <w:sz w:val="22"/>
                <w:szCs w:val="22"/>
              </w:rPr>
              <w:t>4</w:t>
            </w:r>
            <w:r w:rsidR="00FA6A42" w:rsidRPr="00FA6A42">
              <w:rPr>
                <w:sz w:val="22"/>
                <w:szCs w:val="22"/>
              </w:rPr>
              <w:t xml:space="preserve"> </w:t>
            </w:r>
            <w:r w:rsidR="00FA6A42" w:rsidRPr="00C702F9">
              <w:rPr>
                <w:color w:val="C00000"/>
                <w:sz w:val="22"/>
                <w:szCs w:val="22"/>
              </w:rPr>
              <w:t>(Pages)</w:t>
            </w:r>
          </w:p>
        </w:tc>
      </w:tr>
    </w:tbl>
    <w:p w14:paraId="5D641DF1" w14:textId="137000AD" w:rsidR="005D60FA" w:rsidRDefault="00916231" w:rsidP="00022638">
      <w:pPr>
        <w:pStyle w:val="Heading2"/>
      </w:pPr>
      <w:r w:rsidRPr="00022638">
        <w:t>Document</w:t>
      </w:r>
      <w:r w:rsidR="00C2231E">
        <w:t xml:space="preserve"> Management</w:t>
      </w:r>
    </w:p>
    <w:tbl>
      <w:tblPr>
        <w:tblStyle w:val="TableGrid"/>
        <w:tblW w:w="90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2197"/>
        <w:gridCol w:w="2198"/>
        <w:gridCol w:w="1474"/>
        <w:gridCol w:w="1474"/>
      </w:tblGrid>
      <w:tr w:rsidR="00203A57" w14:paraId="50F2721E" w14:textId="77777777" w:rsidTr="009F580B">
        <w:tc>
          <w:tcPr>
            <w:tcW w:w="9039" w:type="dxa"/>
            <w:gridSpan w:val="5"/>
            <w:shd w:val="clear" w:color="auto" w:fill="C1E4F5" w:themeFill="accent1" w:themeFillTint="33"/>
          </w:tcPr>
          <w:p w14:paraId="3B01D919" w14:textId="44C9EFF1" w:rsidR="00203A57" w:rsidRPr="00A35310" w:rsidRDefault="008C0C60" w:rsidP="00C122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This Version</w:t>
            </w:r>
          </w:p>
        </w:tc>
      </w:tr>
      <w:tr w:rsidR="00F94930" w14:paraId="1E3C0C29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7E643B2F" w14:textId="77777777" w:rsidR="000C32A1" w:rsidRPr="00C12209" w:rsidRDefault="000C32A1" w:rsidP="00C1220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C1E4F5" w:themeFill="accent1" w:themeFillTint="33"/>
          </w:tcPr>
          <w:p w14:paraId="622F869D" w14:textId="696D660F" w:rsidR="000C32A1" w:rsidRPr="00C12209" w:rsidRDefault="000C32A1" w:rsidP="00C12209">
            <w:pPr>
              <w:jc w:val="center"/>
              <w:rPr>
                <w:b/>
                <w:bCs/>
                <w:sz w:val="22"/>
                <w:szCs w:val="22"/>
              </w:rPr>
            </w:pPr>
            <w:r w:rsidRPr="00C12209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98" w:type="dxa"/>
            <w:shd w:val="clear" w:color="auto" w:fill="C1E4F5" w:themeFill="accent1" w:themeFillTint="33"/>
          </w:tcPr>
          <w:p w14:paraId="663F66CB" w14:textId="7B4CB48D" w:rsidR="000C32A1" w:rsidRPr="00C12209" w:rsidRDefault="000C32A1" w:rsidP="00C12209">
            <w:pPr>
              <w:jc w:val="center"/>
              <w:rPr>
                <w:b/>
                <w:bCs/>
                <w:sz w:val="22"/>
                <w:szCs w:val="22"/>
              </w:rPr>
            </w:pPr>
            <w:r w:rsidRPr="00C12209">
              <w:rPr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1474" w:type="dxa"/>
            <w:shd w:val="clear" w:color="auto" w:fill="C1E4F5" w:themeFill="accent1" w:themeFillTint="33"/>
          </w:tcPr>
          <w:p w14:paraId="2957692B" w14:textId="5BA23D76" w:rsidR="000C32A1" w:rsidRPr="00C12209" w:rsidRDefault="000C32A1" w:rsidP="00C12209">
            <w:pPr>
              <w:jc w:val="center"/>
              <w:rPr>
                <w:b/>
                <w:bCs/>
                <w:sz w:val="22"/>
                <w:szCs w:val="22"/>
              </w:rPr>
            </w:pPr>
            <w:r w:rsidRPr="00C12209"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474" w:type="dxa"/>
            <w:shd w:val="clear" w:color="auto" w:fill="C1E4F5" w:themeFill="accent1" w:themeFillTint="33"/>
          </w:tcPr>
          <w:p w14:paraId="196A4DEC" w14:textId="77777777" w:rsidR="000C32A1" w:rsidRPr="00C12209" w:rsidRDefault="000C32A1" w:rsidP="00C12209">
            <w:pPr>
              <w:jc w:val="center"/>
              <w:rPr>
                <w:b/>
                <w:bCs/>
                <w:sz w:val="22"/>
                <w:szCs w:val="22"/>
              </w:rPr>
            </w:pPr>
            <w:r w:rsidRPr="00C12209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E1671A" w14:paraId="753FA8C6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00AB47EE" w14:textId="19EF2D30" w:rsidR="000C32A1" w:rsidRPr="00653960" w:rsidRDefault="000C32A1" w:rsidP="00653960">
            <w:pPr>
              <w:rPr>
                <w:b/>
                <w:bCs/>
                <w:sz w:val="22"/>
                <w:szCs w:val="22"/>
              </w:rPr>
            </w:pPr>
            <w:r w:rsidRPr="00653960">
              <w:rPr>
                <w:b/>
                <w:bCs/>
                <w:sz w:val="22"/>
                <w:szCs w:val="22"/>
              </w:rPr>
              <w:t>Compiled by</w:t>
            </w:r>
          </w:p>
        </w:tc>
        <w:tc>
          <w:tcPr>
            <w:tcW w:w="2197" w:type="dxa"/>
          </w:tcPr>
          <w:p w14:paraId="58998DE6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45F3306E" w14:textId="542633AE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D95C3EE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58A49D8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</w:tr>
      <w:tr w:rsidR="00E1671A" w14:paraId="75A29EC6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263AB4CF" w14:textId="5E5EB832" w:rsidR="000C32A1" w:rsidRPr="00653960" w:rsidRDefault="000C32A1" w:rsidP="00653960">
            <w:pPr>
              <w:rPr>
                <w:b/>
                <w:bCs/>
                <w:sz w:val="22"/>
                <w:szCs w:val="22"/>
              </w:rPr>
            </w:pPr>
            <w:r w:rsidRPr="00653960">
              <w:rPr>
                <w:b/>
                <w:bCs/>
                <w:sz w:val="22"/>
                <w:szCs w:val="22"/>
              </w:rPr>
              <w:t>Reviewed by</w:t>
            </w:r>
          </w:p>
        </w:tc>
        <w:tc>
          <w:tcPr>
            <w:tcW w:w="2197" w:type="dxa"/>
          </w:tcPr>
          <w:p w14:paraId="5C2C6F63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35372CDC" w14:textId="7D73BD2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20C0CE96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FC22217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</w:tr>
      <w:tr w:rsidR="00E1671A" w14:paraId="50FF63A6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7AB20AA3" w14:textId="6A3E33E6" w:rsidR="000C32A1" w:rsidRPr="00653960" w:rsidRDefault="000C32A1" w:rsidP="00653960">
            <w:pPr>
              <w:rPr>
                <w:b/>
                <w:bCs/>
                <w:sz w:val="22"/>
                <w:szCs w:val="22"/>
              </w:rPr>
            </w:pPr>
            <w:r w:rsidRPr="00653960">
              <w:rPr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197" w:type="dxa"/>
          </w:tcPr>
          <w:p w14:paraId="4755C8B9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8" w:type="dxa"/>
          </w:tcPr>
          <w:p w14:paraId="1B4F0109" w14:textId="35BA4E2C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40E76673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08521BC1" w14:textId="77777777" w:rsidR="000C32A1" w:rsidRPr="00C12209" w:rsidRDefault="000C32A1" w:rsidP="00C12209">
            <w:pPr>
              <w:jc w:val="both"/>
              <w:rPr>
                <w:sz w:val="22"/>
                <w:szCs w:val="22"/>
              </w:rPr>
            </w:pPr>
          </w:p>
        </w:tc>
      </w:tr>
      <w:tr w:rsidR="00F12766" w14:paraId="15CFE5CD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38893EA5" w14:textId="77777777" w:rsidR="00F12766" w:rsidRPr="00653960" w:rsidRDefault="00F12766" w:rsidP="00653960">
            <w:pPr>
              <w:rPr>
                <w:b/>
                <w:bCs/>
                <w:sz w:val="22"/>
                <w:szCs w:val="22"/>
              </w:rPr>
            </w:pPr>
            <w:r w:rsidRPr="00653960">
              <w:rPr>
                <w:b/>
                <w:bCs/>
                <w:sz w:val="22"/>
                <w:szCs w:val="22"/>
              </w:rPr>
              <w:t>Effective date</w:t>
            </w:r>
          </w:p>
        </w:tc>
        <w:tc>
          <w:tcPr>
            <w:tcW w:w="7343" w:type="dxa"/>
            <w:gridSpan w:val="4"/>
          </w:tcPr>
          <w:p w14:paraId="3CF81F27" w14:textId="77777777" w:rsidR="00F12766" w:rsidRPr="00C12209" w:rsidRDefault="00F12766" w:rsidP="00C12209">
            <w:pPr>
              <w:jc w:val="both"/>
              <w:rPr>
                <w:sz w:val="22"/>
                <w:szCs w:val="22"/>
              </w:rPr>
            </w:pPr>
          </w:p>
        </w:tc>
      </w:tr>
      <w:tr w:rsidR="000254E5" w14:paraId="00E20AC3" w14:textId="77777777" w:rsidTr="00E1671A">
        <w:tc>
          <w:tcPr>
            <w:tcW w:w="1696" w:type="dxa"/>
            <w:shd w:val="clear" w:color="auto" w:fill="C1E4F5" w:themeFill="accent1" w:themeFillTint="33"/>
          </w:tcPr>
          <w:p w14:paraId="18A6DA2C" w14:textId="0AE23169" w:rsidR="000254E5" w:rsidRPr="00653960" w:rsidRDefault="000254E5" w:rsidP="00653960">
            <w:pPr>
              <w:rPr>
                <w:b/>
                <w:bCs/>
                <w:sz w:val="22"/>
                <w:szCs w:val="22"/>
              </w:rPr>
            </w:pPr>
            <w:r w:rsidRPr="00653960">
              <w:rPr>
                <w:b/>
                <w:bCs/>
                <w:sz w:val="22"/>
                <w:szCs w:val="22"/>
              </w:rPr>
              <w:t xml:space="preserve">Next </w:t>
            </w:r>
            <w:r w:rsidR="00653960">
              <w:rPr>
                <w:b/>
                <w:bCs/>
                <w:sz w:val="22"/>
                <w:szCs w:val="22"/>
              </w:rPr>
              <w:t>SOP</w:t>
            </w:r>
            <w:r w:rsidR="00616115">
              <w:rPr>
                <w:b/>
                <w:bCs/>
                <w:sz w:val="22"/>
                <w:szCs w:val="22"/>
              </w:rPr>
              <w:t xml:space="preserve"> </w:t>
            </w:r>
            <w:r w:rsidRPr="00653960">
              <w:rPr>
                <w:b/>
                <w:bCs/>
                <w:sz w:val="22"/>
                <w:szCs w:val="22"/>
              </w:rPr>
              <w:t xml:space="preserve">review </w:t>
            </w:r>
            <w:r w:rsidR="00604563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343" w:type="dxa"/>
            <w:gridSpan w:val="4"/>
          </w:tcPr>
          <w:p w14:paraId="540C8F4B" w14:textId="77777777" w:rsidR="000254E5" w:rsidRPr="00C12209" w:rsidRDefault="000254E5" w:rsidP="00C12209">
            <w:pPr>
              <w:jc w:val="both"/>
            </w:pPr>
          </w:p>
        </w:tc>
      </w:tr>
    </w:tbl>
    <w:p w14:paraId="043630F5" w14:textId="77777777" w:rsidR="007105A1" w:rsidRPr="007105A1" w:rsidRDefault="007105A1" w:rsidP="007105A1">
      <w:pPr>
        <w:jc w:val="both"/>
      </w:pPr>
    </w:p>
    <w:p w14:paraId="0E81E11E" w14:textId="77777777" w:rsidR="00FD790A" w:rsidRPr="00207D50" w:rsidRDefault="00FD790A" w:rsidP="00DC06DF">
      <w:pPr>
        <w:pStyle w:val="Heading2"/>
      </w:pPr>
      <w:r w:rsidRPr="00207D50">
        <w:t>Table of Contents</w:t>
      </w:r>
    </w:p>
    <w:p w14:paraId="27A5F5AC" w14:textId="77777777" w:rsidR="00FD790A" w:rsidRPr="00C702F9" w:rsidRDefault="00FD790A" w:rsidP="008E7018">
      <w:pPr>
        <w:jc w:val="both"/>
        <w:rPr>
          <w:color w:val="C00000"/>
        </w:rPr>
      </w:pPr>
      <w:r w:rsidRPr="00C702F9">
        <w:rPr>
          <w:color w:val="C00000"/>
        </w:rPr>
        <w:t>Insert a table of contents.</w:t>
      </w:r>
    </w:p>
    <w:p w14:paraId="24CE7CAF" w14:textId="1A3E1383" w:rsidR="00FD790A" w:rsidRPr="00207D50" w:rsidRDefault="00FD790A" w:rsidP="00DC06DF">
      <w:pPr>
        <w:pStyle w:val="Heading2"/>
      </w:pPr>
      <w:r w:rsidRPr="00207D50">
        <w:t xml:space="preserve">Purpose and </w:t>
      </w:r>
      <w:r w:rsidR="00D46EF6">
        <w:t>S</w:t>
      </w:r>
      <w:r w:rsidRPr="00207D50">
        <w:t>cope</w:t>
      </w:r>
    </w:p>
    <w:p w14:paraId="6E0FA87A" w14:textId="4329B8C5" w:rsidR="00603CF7" w:rsidRPr="00603CF7" w:rsidRDefault="00871AC3" w:rsidP="008E7018">
      <w:pPr>
        <w:jc w:val="both"/>
      </w:pPr>
      <w:r w:rsidRPr="00871AC3">
        <w:t xml:space="preserve">This SOP </w:t>
      </w:r>
      <w:r w:rsidR="003B6C1B">
        <w:t>outlines the procedures for</w:t>
      </w:r>
      <w:r w:rsidRPr="00871AC3">
        <w:t xml:space="preserve"> transporting biohazardous </w:t>
      </w:r>
      <w:r w:rsidR="00113515">
        <w:t>materials</w:t>
      </w:r>
      <w:r w:rsidR="005C052E">
        <w:rPr>
          <w:rStyle w:val="FootnoteReference"/>
        </w:rPr>
        <w:footnoteReference w:id="1"/>
      </w:r>
      <w:r w:rsidR="00F22193">
        <w:t xml:space="preserve"> </w:t>
      </w:r>
      <w:r w:rsidR="0094209A">
        <w:t xml:space="preserve">to minimise the risk of exposure to or release of the biohazardous agent, thereby safeguarding laboratory personnel, the community, and the environment. This applies to transport </w:t>
      </w:r>
      <w:r w:rsidR="00025E76">
        <w:t>within the laboratory</w:t>
      </w:r>
      <w:r w:rsidR="00401803">
        <w:t xml:space="preserve">, </w:t>
      </w:r>
      <w:r w:rsidR="000121F7">
        <w:t xml:space="preserve">between </w:t>
      </w:r>
      <w:r w:rsidR="006E341F">
        <w:t xml:space="preserve">laboratories or rooms </w:t>
      </w:r>
      <w:r w:rsidR="0094209A">
        <w:t xml:space="preserve">within the </w:t>
      </w:r>
      <w:r w:rsidR="006E341F">
        <w:t>same building</w:t>
      </w:r>
      <w:r w:rsidR="0094209A">
        <w:t xml:space="preserve">, between laboratories or facilities on the UCT campus and </w:t>
      </w:r>
      <w:r w:rsidR="00803622">
        <w:t>off-site transport</w:t>
      </w:r>
      <w:r w:rsidR="00F22193">
        <w:t xml:space="preserve"> of biohazardous material</w:t>
      </w:r>
      <w:r w:rsidR="0094209A">
        <w:t>.</w:t>
      </w:r>
    </w:p>
    <w:p w14:paraId="0AE30712" w14:textId="0E501D98" w:rsidR="00FD790A" w:rsidRDefault="00FD790A" w:rsidP="00DC06DF">
      <w:pPr>
        <w:pStyle w:val="Heading2"/>
      </w:pPr>
      <w:r w:rsidRPr="00207D50">
        <w:t>Abbreviations</w:t>
      </w:r>
      <w:r w:rsidR="0042390C">
        <w:t xml:space="preserve"> and Acronyms</w:t>
      </w:r>
    </w:p>
    <w:p w14:paraId="647A9B9A" w14:textId="2E0BF763" w:rsidR="00F84707" w:rsidRPr="00F84707" w:rsidRDefault="00F84707" w:rsidP="00F84707">
      <w:pPr>
        <w:rPr>
          <w:color w:val="C00000"/>
        </w:rPr>
      </w:pPr>
      <w:r w:rsidRPr="00F84707">
        <w:rPr>
          <w:color w:val="C00000"/>
        </w:rPr>
        <w:t>List all abbreviation</w:t>
      </w:r>
      <w:r w:rsidR="001D3526">
        <w:rPr>
          <w:color w:val="C00000"/>
        </w:rPr>
        <w:t>s</w:t>
      </w:r>
      <w:r w:rsidRPr="00F84707">
        <w:rPr>
          <w:color w:val="C00000"/>
        </w:rPr>
        <w:t xml:space="preserve"> and acronyms used in this SOP</w:t>
      </w:r>
      <w:r w:rsidR="00412348">
        <w:rPr>
          <w:color w:val="C00000"/>
        </w:rPr>
        <w:t xml:space="preserve">. If there are no </w:t>
      </w:r>
      <w:r w:rsidR="00EC3A9C">
        <w:rPr>
          <w:color w:val="C00000"/>
        </w:rPr>
        <w:t>abbreviations, delete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2390C" w14:paraId="44FD9C86" w14:textId="77777777" w:rsidTr="0042390C">
        <w:tc>
          <w:tcPr>
            <w:tcW w:w="2122" w:type="dxa"/>
          </w:tcPr>
          <w:p w14:paraId="3C86C513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4" w:type="dxa"/>
          </w:tcPr>
          <w:p w14:paraId="194346BE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</w:tr>
      <w:tr w:rsidR="0042390C" w14:paraId="0061B594" w14:textId="77777777" w:rsidTr="0042390C">
        <w:tc>
          <w:tcPr>
            <w:tcW w:w="2122" w:type="dxa"/>
          </w:tcPr>
          <w:p w14:paraId="506A8EAE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4" w:type="dxa"/>
          </w:tcPr>
          <w:p w14:paraId="22F0866D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</w:tr>
      <w:tr w:rsidR="0042390C" w14:paraId="35CF714E" w14:textId="77777777" w:rsidTr="0042390C">
        <w:tc>
          <w:tcPr>
            <w:tcW w:w="2122" w:type="dxa"/>
          </w:tcPr>
          <w:p w14:paraId="3F7FA829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4" w:type="dxa"/>
          </w:tcPr>
          <w:p w14:paraId="1F630BFB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</w:tr>
      <w:tr w:rsidR="0042390C" w14:paraId="36997D18" w14:textId="77777777" w:rsidTr="0042390C">
        <w:tc>
          <w:tcPr>
            <w:tcW w:w="2122" w:type="dxa"/>
          </w:tcPr>
          <w:p w14:paraId="723A7DFF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4" w:type="dxa"/>
          </w:tcPr>
          <w:p w14:paraId="49009679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</w:tr>
      <w:tr w:rsidR="0042390C" w14:paraId="5295C581" w14:textId="77777777" w:rsidTr="0042390C">
        <w:tc>
          <w:tcPr>
            <w:tcW w:w="2122" w:type="dxa"/>
          </w:tcPr>
          <w:p w14:paraId="3960D317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94" w:type="dxa"/>
          </w:tcPr>
          <w:p w14:paraId="528EFD3C" w14:textId="77777777" w:rsidR="0042390C" w:rsidRPr="00AF7CC3" w:rsidRDefault="0042390C" w:rsidP="00FD790A">
            <w:pPr>
              <w:jc w:val="both"/>
              <w:rPr>
                <w:sz w:val="22"/>
                <w:szCs w:val="22"/>
              </w:rPr>
            </w:pPr>
          </w:p>
        </w:tc>
      </w:tr>
    </w:tbl>
    <w:p w14:paraId="2A58FDEF" w14:textId="77777777" w:rsidR="008E7018" w:rsidRDefault="008E7018" w:rsidP="00FD790A">
      <w:pPr>
        <w:jc w:val="both"/>
      </w:pPr>
    </w:p>
    <w:p w14:paraId="1D347599" w14:textId="77777777" w:rsidR="00FD790A" w:rsidRDefault="00FD790A" w:rsidP="00DC06DF">
      <w:pPr>
        <w:pStyle w:val="Heading2"/>
      </w:pPr>
      <w:r w:rsidRPr="00207D50">
        <w:lastRenderedPageBreak/>
        <w:t>Applicable Regulatory Requirements</w:t>
      </w:r>
    </w:p>
    <w:p w14:paraId="414EB5C0" w14:textId="77777777" w:rsidR="00E3597A" w:rsidRDefault="00E3597A" w:rsidP="00E3597A">
      <w:pPr>
        <w:pStyle w:val="ListParagraph"/>
        <w:numPr>
          <w:ilvl w:val="0"/>
          <w:numId w:val="7"/>
        </w:numPr>
      </w:pPr>
      <w:r>
        <w:t>National Road Traffic Act (Act 93 of 1996) and regulations as listed in SANS10228.</w:t>
      </w:r>
    </w:p>
    <w:p w14:paraId="039F6AEF" w14:textId="77777777" w:rsidR="00E3597A" w:rsidRDefault="00E3597A" w:rsidP="00E3597A">
      <w:pPr>
        <w:pStyle w:val="ListParagraph"/>
        <w:numPr>
          <w:ilvl w:val="0"/>
          <w:numId w:val="7"/>
        </w:numPr>
      </w:pPr>
      <w:r>
        <w:t>International Air Transport Association (IATA) and South African Civil Aviation Authority Regulations</w:t>
      </w:r>
    </w:p>
    <w:p w14:paraId="52D4FB23" w14:textId="32A237B5" w:rsidR="003A0BB3" w:rsidRDefault="00E3597A" w:rsidP="00E3597A">
      <w:pPr>
        <w:pStyle w:val="ListParagraph"/>
        <w:numPr>
          <w:ilvl w:val="0"/>
          <w:numId w:val="7"/>
        </w:numPr>
      </w:pPr>
      <w:r>
        <w:t>Convention on International Civil Aviation</w:t>
      </w:r>
      <w:r w:rsidR="00113515">
        <w:t>,</w:t>
      </w:r>
      <w:r>
        <w:t xml:space="preserve"> Annex 18 —The Safe Transport of Dangerous Goods by Air.</w:t>
      </w:r>
    </w:p>
    <w:p w14:paraId="0C918924" w14:textId="05301300" w:rsidR="00945211" w:rsidRPr="003A0BB3" w:rsidRDefault="00945211" w:rsidP="00E3597A">
      <w:pPr>
        <w:pStyle w:val="ListParagraph"/>
        <w:numPr>
          <w:ilvl w:val="0"/>
          <w:numId w:val="7"/>
        </w:numPr>
      </w:pPr>
      <w:r>
        <w:t>National Health Act and</w:t>
      </w:r>
      <w:r w:rsidR="00756465">
        <w:t xml:space="preserve"> the</w:t>
      </w:r>
      <w:r>
        <w:t xml:space="preserve"> </w:t>
      </w:r>
      <w:r w:rsidR="00DD66B6">
        <w:t>required Biological Material Transfer Agreement</w:t>
      </w:r>
      <w:r w:rsidR="00756465">
        <w:t xml:space="preserve"> (BMTA).</w:t>
      </w:r>
    </w:p>
    <w:p w14:paraId="09897353" w14:textId="77777777" w:rsidR="0084588B" w:rsidRPr="00207D50" w:rsidRDefault="0084588B" w:rsidP="00DC06DF">
      <w:pPr>
        <w:pStyle w:val="Heading2"/>
      </w:pPr>
      <w:r w:rsidRPr="00207D50">
        <w:t>Responsibilities</w:t>
      </w:r>
    </w:p>
    <w:p w14:paraId="7919F33E" w14:textId="2F924A67" w:rsidR="0084588B" w:rsidRPr="00C702F9" w:rsidRDefault="00C702F9" w:rsidP="0084588B">
      <w:pPr>
        <w:jc w:val="both"/>
        <w:rPr>
          <w:color w:val="C00000"/>
        </w:rPr>
      </w:pPr>
      <w:r w:rsidRPr="00C702F9">
        <w:rPr>
          <w:color w:val="C00000"/>
        </w:rPr>
        <w:t>Complete the</w:t>
      </w:r>
      <w:r w:rsidR="0084588B" w:rsidRPr="00C702F9">
        <w:rPr>
          <w:color w:val="C00000"/>
        </w:rPr>
        <w:t xml:space="preserve"> table with the specific responsibilities of the respective individuals </w:t>
      </w:r>
      <w:r w:rsidR="00AB2C3D" w:rsidRPr="00C702F9">
        <w:rPr>
          <w:color w:val="C00000"/>
        </w:rPr>
        <w:t xml:space="preserve">or groups </w:t>
      </w:r>
      <w:r w:rsidR="0084588B" w:rsidRPr="00C702F9">
        <w:rPr>
          <w:color w:val="C00000"/>
        </w:rPr>
        <w:t>in the laboratory, e.g., Laboratory manager, H&amp;S Officer, Researchers, Students, etc. Use job descriptions (not names as people may leave)</w:t>
      </w:r>
      <w:r w:rsidR="00AB2C3D" w:rsidRPr="00C702F9">
        <w:rPr>
          <w:color w:val="C00000"/>
        </w:rPr>
        <w:t>.</w:t>
      </w:r>
      <w:r w:rsidR="00BA1BDF">
        <w:rPr>
          <w:color w:val="C00000"/>
        </w:rPr>
        <w:t xml:space="preserve"> Examples of responsibilities</w:t>
      </w:r>
      <w:r w:rsidR="00222901">
        <w:rPr>
          <w:color w:val="C00000"/>
        </w:rPr>
        <w:t xml:space="preserve"> are</w:t>
      </w:r>
      <w:r w:rsidR="00BA1BDF">
        <w:rPr>
          <w:color w:val="C00000"/>
        </w:rPr>
        <w:t xml:space="preserve"> included in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4588B" w:rsidRPr="0084588B" w14:paraId="5CFA8002" w14:textId="77777777" w:rsidTr="0084588B">
        <w:tc>
          <w:tcPr>
            <w:tcW w:w="2972" w:type="dxa"/>
            <w:shd w:val="clear" w:color="auto" w:fill="C1E4F5" w:themeFill="accent1" w:themeFillTint="33"/>
          </w:tcPr>
          <w:p w14:paraId="73958549" w14:textId="37953A66" w:rsidR="0084588B" w:rsidRPr="0084588B" w:rsidRDefault="00A02510" w:rsidP="00845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Individual</w:t>
            </w:r>
          </w:p>
        </w:tc>
        <w:tc>
          <w:tcPr>
            <w:tcW w:w="6044" w:type="dxa"/>
            <w:shd w:val="clear" w:color="auto" w:fill="C1E4F5" w:themeFill="accent1" w:themeFillTint="33"/>
          </w:tcPr>
          <w:p w14:paraId="4A2733C9" w14:textId="27430C01" w:rsidR="0084588B" w:rsidRPr="0084588B" w:rsidRDefault="0084588B" w:rsidP="0084588B">
            <w:pPr>
              <w:jc w:val="center"/>
              <w:rPr>
                <w:b/>
                <w:bCs/>
                <w:sz w:val="22"/>
                <w:szCs w:val="22"/>
              </w:rPr>
            </w:pPr>
            <w:r w:rsidRPr="0084588B">
              <w:rPr>
                <w:b/>
                <w:bCs/>
                <w:sz w:val="22"/>
                <w:szCs w:val="22"/>
              </w:rPr>
              <w:t>Responsibilities</w:t>
            </w:r>
          </w:p>
        </w:tc>
      </w:tr>
      <w:tr w:rsidR="0084588B" w:rsidRPr="0084588B" w14:paraId="13E23B4E" w14:textId="77777777" w:rsidTr="0084588B">
        <w:tc>
          <w:tcPr>
            <w:tcW w:w="2972" w:type="dxa"/>
          </w:tcPr>
          <w:p w14:paraId="110DAC57" w14:textId="0A25B005" w:rsidR="0084588B" w:rsidRPr="00BA1BDF" w:rsidRDefault="00230EF8" w:rsidP="007762B5">
            <w:pPr>
              <w:jc w:val="both"/>
              <w:rPr>
                <w:sz w:val="22"/>
                <w:szCs w:val="22"/>
              </w:rPr>
            </w:pPr>
            <w:r w:rsidRPr="00BA1BDF">
              <w:rPr>
                <w:sz w:val="22"/>
                <w:szCs w:val="22"/>
              </w:rPr>
              <w:t xml:space="preserve">PI of the lab performing the transfer/transport </w:t>
            </w:r>
          </w:p>
        </w:tc>
        <w:tc>
          <w:tcPr>
            <w:tcW w:w="6044" w:type="dxa"/>
          </w:tcPr>
          <w:p w14:paraId="54993063" w14:textId="172EDB0B" w:rsidR="0084588B" w:rsidRPr="00BA1BDF" w:rsidRDefault="00230EF8" w:rsidP="007762B5">
            <w:pPr>
              <w:jc w:val="both"/>
              <w:rPr>
                <w:sz w:val="22"/>
                <w:szCs w:val="22"/>
              </w:rPr>
            </w:pPr>
            <w:r w:rsidRPr="00BA1BDF">
              <w:rPr>
                <w:sz w:val="22"/>
                <w:szCs w:val="22"/>
              </w:rPr>
              <w:t>Ensure that a system is established for the safe transfer or transport of biological materials</w:t>
            </w:r>
          </w:p>
        </w:tc>
      </w:tr>
      <w:tr w:rsidR="00E33451" w:rsidRPr="0084588B" w14:paraId="22E47433" w14:textId="77777777" w:rsidTr="0084588B">
        <w:tc>
          <w:tcPr>
            <w:tcW w:w="2972" w:type="dxa"/>
          </w:tcPr>
          <w:p w14:paraId="6108AD05" w14:textId="77777777" w:rsidR="00E33451" w:rsidRPr="00BA1BDF" w:rsidRDefault="00E33451" w:rsidP="007762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44" w:type="dxa"/>
          </w:tcPr>
          <w:p w14:paraId="24E29114" w14:textId="1DB366BF" w:rsidR="00E33451" w:rsidRPr="00BA1BDF" w:rsidRDefault="00205050" w:rsidP="007762B5">
            <w:pPr>
              <w:jc w:val="both"/>
              <w:rPr>
                <w:sz w:val="22"/>
                <w:szCs w:val="22"/>
              </w:rPr>
            </w:pPr>
            <w:r w:rsidRPr="00BA1BDF">
              <w:rPr>
                <w:sz w:val="22"/>
                <w:szCs w:val="22"/>
              </w:rPr>
              <w:t>C</w:t>
            </w:r>
            <w:r w:rsidR="00D462E0" w:rsidRPr="00BA1BDF">
              <w:rPr>
                <w:sz w:val="22"/>
                <w:szCs w:val="22"/>
              </w:rPr>
              <w:t>lassify if the material is a dangerous goods or not</w:t>
            </w:r>
            <w:r w:rsidR="000720ED" w:rsidRPr="00BA1BDF">
              <w:rPr>
                <w:sz w:val="22"/>
                <w:szCs w:val="22"/>
              </w:rPr>
              <w:t>,</w:t>
            </w:r>
            <w:r w:rsidR="00D462E0" w:rsidRPr="00BA1BDF">
              <w:rPr>
                <w:sz w:val="22"/>
                <w:szCs w:val="22"/>
              </w:rPr>
              <w:t xml:space="preserve"> select </w:t>
            </w:r>
            <w:r w:rsidR="000720ED" w:rsidRPr="00BA1BDF">
              <w:rPr>
                <w:sz w:val="22"/>
                <w:szCs w:val="22"/>
              </w:rPr>
              <w:t>the</w:t>
            </w:r>
            <w:r w:rsidR="00D462E0" w:rsidRPr="00BA1BDF">
              <w:rPr>
                <w:sz w:val="22"/>
                <w:szCs w:val="22"/>
              </w:rPr>
              <w:t xml:space="preserve"> proper means of transfer or transport</w:t>
            </w:r>
            <w:r w:rsidR="000720ED" w:rsidRPr="00BA1BDF">
              <w:rPr>
                <w:sz w:val="22"/>
                <w:szCs w:val="22"/>
              </w:rPr>
              <w:t xml:space="preserve">, </w:t>
            </w:r>
            <w:r w:rsidR="00D462E0" w:rsidRPr="00BA1BDF">
              <w:rPr>
                <w:sz w:val="22"/>
                <w:szCs w:val="22"/>
              </w:rPr>
              <w:t>select a proper packing and packaging material</w:t>
            </w:r>
            <w:r w:rsidR="000720ED" w:rsidRPr="00BA1BDF">
              <w:rPr>
                <w:sz w:val="22"/>
                <w:szCs w:val="22"/>
              </w:rPr>
              <w:t>,</w:t>
            </w:r>
            <w:r w:rsidR="00125004" w:rsidRPr="00BA1BDF">
              <w:rPr>
                <w:sz w:val="22"/>
                <w:szCs w:val="22"/>
              </w:rPr>
              <w:t xml:space="preserve"> </w:t>
            </w:r>
            <w:r w:rsidR="00D462E0" w:rsidRPr="00BA1BDF">
              <w:rPr>
                <w:sz w:val="22"/>
                <w:szCs w:val="22"/>
              </w:rPr>
              <w:t>ensure proper signage and label</w:t>
            </w:r>
            <w:r w:rsidR="00125004" w:rsidRPr="00BA1BDF">
              <w:rPr>
                <w:sz w:val="22"/>
                <w:szCs w:val="22"/>
              </w:rPr>
              <w:t>l</w:t>
            </w:r>
            <w:r w:rsidR="00D462E0" w:rsidRPr="00BA1BDF">
              <w:rPr>
                <w:sz w:val="22"/>
                <w:szCs w:val="22"/>
              </w:rPr>
              <w:t>ing on the package</w:t>
            </w:r>
            <w:r w:rsidR="00125004" w:rsidRPr="00BA1BDF">
              <w:rPr>
                <w:sz w:val="22"/>
                <w:szCs w:val="22"/>
              </w:rPr>
              <w:t>, and</w:t>
            </w:r>
            <w:r w:rsidR="00D462E0" w:rsidRPr="00BA1BDF">
              <w:rPr>
                <w:sz w:val="22"/>
                <w:szCs w:val="22"/>
              </w:rPr>
              <w:t xml:space="preserve"> establish the most appropriate route of transfer/transport  </w:t>
            </w:r>
          </w:p>
        </w:tc>
      </w:tr>
      <w:tr w:rsidR="00E33451" w:rsidRPr="0084588B" w14:paraId="6749795C" w14:textId="77777777" w:rsidTr="0084588B">
        <w:tc>
          <w:tcPr>
            <w:tcW w:w="2972" w:type="dxa"/>
          </w:tcPr>
          <w:p w14:paraId="456B11AB" w14:textId="77777777" w:rsidR="00E33451" w:rsidRPr="00BA1BDF" w:rsidRDefault="00E33451" w:rsidP="007762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44" w:type="dxa"/>
          </w:tcPr>
          <w:p w14:paraId="3791968D" w14:textId="1C1E62B7" w:rsidR="00E33451" w:rsidRPr="00BA1BDF" w:rsidRDefault="00125004" w:rsidP="007762B5">
            <w:pPr>
              <w:jc w:val="both"/>
              <w:rPr>
                <w:sz w:val="22"/>
                <w:szCs w:val="22"/>
              </w:rPr>
            </w:pPr>
            <w:r w:rsidRPr="00BA1BDF">
              <w:rPr>
                <w:sz w:val="22"/>
                <w:szCs w:val="22"/>
              </w:rPr>
              <w:t>Ensure that the packaging and labelling of</w:t>
            </w:r>
            <w:r w:rsidR="00BA1BDF" w:rsidRPr="00BA1BDF">
              <w:rPr>
                <w:sz w:val="22"/>
                <w:szCs w:val="22"/>
              </w:rPr>
              <w:t xml:space="preserve"> the </w:t>
            </w:r>
            <w:r w:rsidRPr="00BA1BDF">
              <w:rPr>
                <w:sz w:val="22"/>
                <w:szCs w:val="22"/>
              </w:rPr>
              <w:t xml:space="preserve">container </w:t>
            </w:r>
            <w:r w:rsidR="00BA1BDF" w:rsidRPr="00BA1BDF">
              <w:rPr>
                <w:sz w:val="22"/>
                <w:szCs w:val="22"/>
              </w:rPr>
              <w:t>and</w:t>
            </w:r>
            <w:r w:rsidRPr="00BA1BDF">
              <w:rPr>
                <w:sz w:val="22"/>
                <w:szCs w:val="22"/>
              </w:rPr>
              <w:t xml:space="preserve"> other transportation procedures </w:t>
            </w:r>
            <w:r w:rsidR="00BA1BDF" w:rsidRPr="00BA1BDF">
              <w:rPr>
                <w:sz w:val="22"/>
                <w:szCs w:val="22"/>
              </w:rPr>
              <w:t>follow</w:t>
            </w:r>
            <w:r w:rsidRPr="00BA1BDF">
              <w:rPr>
                <w:sz w:val="22"/>
                <w:szCs w:val="22"/>
              </w:rPr>
              <w:t xml:space="preserve"> those described in this SOP</w:t>
            </w:r>
          </w:p>
        </w:tc>
      </w:tr>
    </w:tbl>
    <w:p w14:paraId="2F292BC5" w14:textId="0C6458A7" w:rsidR="00EF1051" w:rsidRPr="00207D50" w:rsidRDefault="0064214D" w:rsidP="001D32F2">
      <w:pPr>
        <w:pStyle w:val="Heading2"/>
      </w:pPr>
      <w:r>
        <w:t>Packaging and transportation p</w:t>
      </w:r>
      <w:r w:rsidR="00EF1051" w:rsidRPr="00207D50">
        <w:t>rocedure</w:t>
      </w:r>
      <w:r>
        <w:t>s</w:t>
      </w:r>
      <w:r w:rsidR="00EF1051" w:rsidRPr="00207D50">
        <w:t xml:space="preserve"> </w:t>
      </w:r>
    </w:p>
    <w:p w14:paraId="31DEE14E" w14:textId="2971A5CC" w:rsidR="00AB2BB7" w:rsidRDefault="002F51DA" w:rsidP="00EB6008">
      <w:pPr>
        <w:pStyle w:val="Heading3"/>
        <w:numPr>
          <w:ilvl w:val="1"/>
          <w:numId w:val="10"/>
        </w:numPr>
        <w:rPr>
          <w:rFonts w:eastAsiaTheme="minorHAnsi"/>
        </w:rPr>
      </w:pPr>
      <w:r w:rsidRPr="00EB6008">
        <w:rPr>
          <w:rFonts w:eastAsiaTheme="minorHAnsi"/>
        </w:rPr>
        <w:t xml:space="preserve">Procedure for </w:t>
      </w:r>
      <w:r w:rsidR="0064214D">
        <w:t>p</w:t>
      </w:r>
      <w:r w:rsidRPr="00EB6008">
        <w:rPr>
          <w:rFonts w:eastAsiaTheme="minorHAnsi"/>
        </w:rPr>
        <w:t xml:space="preserve">ackaging </w:t>
      </w:r>
    </w:p>
    <w:p w14:paraId="09F4309A" w14:textId="1E8B8C4A" w:rsidR="00297E37" w:rsidRPr="00AD7F90" w:rsidRDefault="00297E37" w:rsidP="00297E37">
      <w:pPr>
        <w:rPr>
          <w:color w:val="C00000"/>
        </w:rPr>
      </w:pPr>
      <w:r w:rsidRPr="00AD7F90">
        <w:rPr>
          <w:color w:val="C00000"/>
        </w:rPr>
        <w:t xml:space="preserve">Include diagrams </w:t>
      </w:r>
      <w:r w:rsidR="00AD7F90" w:rsidRPr="00AD7F90">
        <w:rPr>
          <w:color w:val="C00000"/>
        </w:rPr>
        <w:t>or pictures where possible</w:t>
      </w:r>
    </w:p>
    <w:p w14:paraId="288D126E" w14:textId="19DD1628" w:rsidR="00AB2BB7" w:rsidRDefault="002F51DA" w:rsidP="00F978EC">
      <w:pPr>
        <w:pStyle w:val="ListParagraph"/>
        <w:numPr>
          <w:ilvl w:val="0"/>
          <w:numId w:val="11"/>
        </w:numPr>
      </w:pPr>
      <w:r w:rsidRPr="002F51DA">
        <w:t>The sample must be triple packaged</w:t>
      </w:r>
      <w:r w:rsidR="00B452BA">
        <w:t>.</w:t>
      </w:r>
      <w:r w:rsidRPr="002F51DA">
        <w:t xml:space="preserve"> The sample must be placed in a sealed primary container that is securely closed and leak-proof. Plastic containers should be used whenever possible.  </w:t>
      </w:r>
    </w:p>
    <w:p w14:paraId="3B8BFE73" w14:textId="2AB90490" w:rsidR="00EF1051" w:rsidRDefault="002F51DA" w:rsidP="00F978EC">
      <w:pPr>
        <w:pStyle w:val="ListParagraph"/>
        <w:numPr>
          <w:ilvl w:val="0"/>
          <w:numId w:val="11"/>
        </w:numPr>
      </w:pPr>
      <w:r w:rsidRPr="002F51DA">
        <w:t>The primary container should be placed in</w:t>
      </w:r>
      <w:r w:rsidR="006D39AA">
        <w:t>side</w:t>
      </w:r>
      <w:r w:rsidRPr="002F51DA">
        <w:t xml:space="preserve"> a leak-proof and sealed watertight secondary container, with enough absorbent material (e.g. paper towels or commercially</w:t>
      </w:r>
      <w:r w:rsidR="00AB2BB7">
        <w:t xml:space="preserve"> </w:t>
      </w:r>
      <w:r w:rsidRPr="002F51DA">
        <w:t xml:space="preserve">available absorbent material) placed around the primary container sufficient to absorb the entire contents of the primary container in case of breakage or leakage. </w:t>
      </w:r>
    </w:p>
    <w:p w14:paraId="3C5C23BD" w14:textId="05B3F431" w:rsidR="00C56722" w:rsidRDefault="00A36104" w:rsidP="00F978EC">
      <w:pPr>
        <w:pStyle w:val="ListParagraph"/>
        <w:numPr>
          <w:ilvl w:val="0"/>
          <w:numId w:val="11"/>
        </w:numPr>
      </w:pPr>
      <w:r>
        <w:t>An i</w:t>
      </w:r>
      <w:r w:rsidR="00C56722" w:rsidRPr="00C56722">
        <w:t xml:space="preserve">nformation sheet including quantity and type of biological material, and particulars about the transferor and transferee (including emergency contact numbers) </w:t>
      </w:r>
      <w:r>
        <w:t>must</w:t>
      </w:r>
      <w:r w:rsidR="00C56722" w:rsidRPr="00C56722">
        <w:t xml:space="preserve"> be available. </w:t>
      </w:r>
    </w:p>
    <w:p w14:paraId="1A13D679" w14:textId="67404399" w:rsidR="00C56722" w:rsidRDefault="00C56722" w:rsidP="00F978EC">
      <w:pPr>
        <w:pStyle w:val="ListParagraph"/>
        <w:numPr>
          <w:ilvl w:val="0"/>
          <w:numId w:val="11"/>
        </w:numPr>
      </w:pPr>
      <w:r w:rsidRPr="00C56722">
        <w:t>The secondary container must be placed in</w:t>
      </w:r>
      <w:r w:rsidR="00A36104">
        <w:t>side</w:t>
      </w:r>
      <w:r w:rsidRPr="00C56722">
        <w:t xml:space="preserve"> a tertiary carrier/cooler that is sturdy and leak-proof, with a lid that can be </w:t>
      </w:r>
      <w:r w:rsidR="009C3088">
        <w:t>sealed</w:t>
      </w:r>
      <w:r w:rsidRPr="00C56722">
        <w:t xml:space="preserve">.  </w:t>
      </w:r>
    </w:p>
    <w:p w14:paraId="44459833" w14:textId="7809E5FE" w:rsidR="009C3088" w:rsidRDefault="00C56722" w:rsidP="00F978EC">
      <w:pPr>
        <w:pStyle w:val="ListParagraph"/>
        <w:numPr>
          <w:ilvl w:val="0"/>
          <w:numId w:val="11"/>
        </w:numPr>
      </w:pPr>
      <w:r w:rsidRPr="00C56722">
        <w:t xml:space="preserve">The outside of the tertiary container must be free of any biohazardous material so that the package can be carried safely between facilities or outside </w:t>
      </w:r>
      <w:r w:rsidR="009C3088">
        <w:t>the building</w:t>
      </w:r>
      <w:r w:rsidRPr="00C56722">
        <w:t xml:space="preserve"> without </w:t>
      </w:r>
      <w:r w:rsidRPr="00C56722">
        <w:lastRenderedPageBreak/>
        <w:t xml:space="preserve">wearing gloves or lab coats. External surfaces of every container shall be decontaminated during the assembly of the package, including the tertiary container </w:t>
      </w:r>
    </w:p>
    <w:p w14:paraId="54F1971B" w14:textId="1234313B" w:rsidR="009C3088" w:rsidRDefault="00C56722" w:rsidP="00F978EC">
      <w:pPr>
        <w:pStyle w:val="ListParagraph"/>
        <w:numPr>
          <w:ilvl w:val="0"/>
          <w:numId w:val="11"/>
        </w:numPr>
      </w:pPr>
      <w:r w:rsidRPr="00C56722">
        <w:t>The outer container must be labe</w:t>
      </w:r>
      <w:r w:rsidR="009C3088">
        <w:t>l</w:t>
      </w:r>
      <w:r w:rsidRPr="00C56722">
        <w:t xml:space="preserve">led with:  </w:t>
      </w:r>
    </w:p>
    <w:p w14:paraId="2A5A4781" w14:textId="77777777" w:rsidR="009C3088" w:rsidRDefault="00C56722" w:rsidP="00F978EC">
      <w:pPr>
        <w:ind w:left="720"/>
      </w:pPr>
      <w:r w:rsidRPr="00C56722">
        <w:t xml:space="preserve">• The universal biohazard symbol  </w:t>
      </w:r>
    </w:p>
    <w:p w14:paraId="18E00F45" w14:textId="568E187A" w:rsidR="009C3088" w:rsidRDefault="00C56722" w:rsidP="00F978EC">
      <w:pPr>
        <w:ind w:left="720"/>
      </w:pPr>
      <w:r w:rsidRPr="00C56722">
        <w:t xml:space="preserve">• Name of the PI responsible for transferring /transporting the material  </w:t>
      </w:r>
    </w:p>
    <w:p w14:paraId="4BFFD33B" w14:textId="77777777" w:rsidR="009649E7" w:rsidRDefault="00C56722" w:rsidP="00F978EC">
      <w:pPr>
        <w:ind w:left="720"/>
      </w:pPr>
      <w:r w:rsidRPr="00C56722">
        <w:t>• Contact number of the safety lead/lab manager of the transferring lab</w:t>
      </w:r>
    </w:p>
    <w:p w14:paraId="1F65D03C" w14:textId="097A7DFF" w:rsidR="00F978EC" w:rsidRDefault="0089303E" w:rsidP="00F978EC">
      <w:pPr>
        <w:pStyle w:val="ListParagraph"/>
        <w:numPr>
          <w:ilvl w:val="0"/>
          <w:numId w:val="11"/>
        </w:numPr>
      </w:pPr>
      <w:r>
        <w:t xml:space="preserve">Sealable, labelled containers must </w:t>
      </w:r>
      <w:r w:rsidR="000139F7">
        <w:t xml:space="preserve">also </w:t>
      </w:r>
      <w:r>
        <w:t>be used for the transportation of samples within the building</w:t>
      </w:r>
      <w:r w:rsidR="00883DD6">
        <w:t>.</w:t>
      </w:r>
    </w:p>
    <w:p w14:paraId="347EEBCC" w14:textId="49BCE787" w:rsidR="009C3088" w:rsidRDefault="00C56722" w:rsidP="00EB6008">
      <w:pPr>
        <w:pStyle w:val="Heading3"/>
      </w:pPr>
      <w:r w:rsidRPr="00C56722">
        <w:t xml:space="preserve">Procedure for </w:t>
      </w:r>
      <w:r w:rsidR="0064214D">
        <w:t>t</w:t>
      </w:r>
      <w:r w:rsidRPr="00C56722">
        <w:t xml:space="preserve">ransporting  </w:t>
      </w:r>
    </w:p>
    <w:p w14:paraId="4167A720" w14:textId="64608BD4" w:rsidR="009C3088" w:rsidRDefault="00C56722" w:rsidP="00AB2BB7">
      <w:r w:rsidRPr="00C56722">
        <w:t xml:space="preserve">a. Biological materials </w:t>
      </w:r>
      <w:r w:rsidR="00883DD6">
        <w:t>must</w:t>
      </w:r>
      <w:r w:rsidRPr="00C56722">
        <w:t xml:space="preserve"> not be transported via public </w:t>
      </w:r>
      <w:r w:rsidR="009C3088">
        <w:t>transport</w:t>
      </w:r>
      <w:r w:rsidRPr="00C56722">
        <w:t xml:space="preserve">. Examples of acceptable modes of transport include walking, personal vehicles, </w:t>
      </w:r>
      <w:r w:rsidR="00FB0C9C">
        <w:t xml:space="preserve">and </w:t>
      </w:r>
      <w:r w:rsidRPr="00C56722">
        <w:t xml:space="preserve">commercial carriers (i.e. courier services).  </w:t>
      </w:r>
    </w:p>
    <w:p w14:paraId="20531180" w14:textId="32842DBE" w:rsidR="009C3088" w:rsidRDefault="00C56722" w:rsidP="00AB2BB7">
      <w:r w:rsidRPr="00C56722">
        <w:t>b. When transporting biological agents between building</w:t>
      </w:r>
      <w:r w:rsidR="009C3088">
        <w:t>s on the UCT campus</w:t>
      </w:r>
      <w:r w:rsidRPr="00C56722">
        <w:t>, care must be taken to select a route that minimi</w:t>
      </w:r>
      <w:r w:rsidR="009C3088">
        <w:t>s</w:t>
      </w:r>
      <w:r w:rsidRPr="00C56722">
        <w:t xml:space="preserve">es exposure to the community and avoids crowded areas.  </w:t>
      </w:r>
    </w:p>
    <w:p w14:paraId="6C06FE58" w14:textId="77777777" w:rsidR="00097215" w:rsidRDefault="00C56722" w:rsidP="00AB2BB7">
      <w:r w:rsidRPr="00C56722">
        <w:t xml:space="preserve">c. Within the building, all biological materials must be transported using the service lift.  </w:t>
      </w:r>
    </w:p>
    <w:p w14:paraId="342A1685" w14:textId="38258DF9" w:rsidR="00097215" w:rsidRDefault="00C56722" w:rsidP="00AB2BB7">
      <w:r w:rsidRPr="00C56722">
        <w:t xml:space="preserve">d. A spill kit should be carried / nearest available location of a spill kit should be known when transferring between laboratories (i.e. within the same building). </w:t>
      </w:r>
    </w:p>
    <w:p w14:paraId="16A8EB53" w14:textId="77777777" w:rsidR="00097215" w:rsidRDefault="00C56722" w:rsidP="00AB2BB7">
      <w:r w:rsidRPr="00C56722">
        <w:t>e. A spill kit shall be carried for transport between laboratories and laboratories of other research institutions/ universities.</w:t>
      </w:r>
    </w:p>
    <w:p w14:paraId="415F6409" w14:textId="5BCF6E5A" w:rsidR="00C56722" w:rsidRDefault="00097215" w:rsidP="00AB2BB7">
      <w:r>
        <w:t>f</w:t>
      </w:r>
      <w:r w:rsidR="00C56722" w:rsidRPr="00C56722">
        <w:t xml:space="preserve">. The package must be taken directly to its intended location without stopping at other locations along the way and shall not be opened during transport. If a spill is suspected, the package shall be opened at the destination inside a biosafety cabinet.  </w:t>
      </w:r>
    </w:p>
    <w:p w14:paraId="5D28F00B" w14:textId="1F5824B4" w:rsidR="00C4752E" w:rsidRDefault="00C4752E" w:rsidP="00EB6008">
      <w:pPr>
        <w:pStyle w:val="Heading3"/>
      </w:pPr>
      <w:r>
        <w:t>Receiving</w:t>
      </w:r>
    </w:p>
    <w:p w14:paraId="068DAFB0" w14:textId="3751A16C" w:rsidR="00C4752E" w:rsidRDefault="007A1A67" w:rsidP="00C4752E">
      <w:r>
        <w:t xml:space="preserve">a. </w:t>
      </w:r>
      <w:r w:rsidR="00C4752E">
        <w:t xml:space="preserve">Inspection: Upon arrival, inspect the package for any signs of leakage or damage. </w:t>
      </w:r>
    </w:p>
    <w:p w14:paraId="0499B6AD" w14:textId="314C60F6" w:rsidR="00C4752E" w:rsidRDefault="007A1A67" w:rsidP="00C4752E">
      <w:r>
        <w:t xml:space="preserve">b. </w:t>
      </w:r>
      <w:r w:rsidR="00C4752E">
        <w:t xml:space="preserve">Decontamination: If leakage is detected, decontaminate the package according to established procedures. </w:t>
      </w:r>
    </w:p>
    <w:p w14:paraId="796DC84F" w14:textId="5973BA4B" w:rsidR="000D5772" w:rsidRDefault="007A1A67" w:rsidP="00C4752E">
      <w:r>
        <w:t xml:space="preserve">c. </w:t>
      </w:r>
      <w:r w:rsidR="00C4752E">
        <w:t xml:space="preserve">Storage: Store the material properly in a designated area, following biosafety guidelines. </w:t>
      </w:r>
    </w:p>
    <w:p w14:paraId="0862ADA7" w14:textId="77777777" w:rsidR="00222901" w:rsidRDefault="00222901" w:rsidP="00222901">
      <w:pPr>
        <w:pStyle w:val="Heading2"/>
      </w:pPr>
      <w:r>
        <w:t>Control measures</w:t>
      </w:r>
    </w:p>
    <w:p w14:paraId="552909B8" w14:textId="77777777" w:rsidR="00297E37" w:rsidRDefault="00297E37" w:rsidP="00297E37">
      <w:pPr>
        <w:rPr>
          <w:color w:val="C00000"/>
        </w:rPr>
      </w:pPr>
      <w:r>
        <w:t xml:space="preserve">a. </w:t>
      </w:r>
      <w:r w:rsidR="00222901">
        <w:t>T</w:t>
      </w:r>
      <w:r w:rsidR="00AC5FC0">
        <w:t>raining</w:t>
      </w:r>
      <w:r w:rsidR="00222901">
        <w:t xml:space="preserve">: </w:t>
      </w:r>
      <w:r w:rsidR="00222901" w:rsidRPr="00AC5FC0">
        <w:rPr>
          <w:color w:val="C00000"/>
        </w:rPr>
        <w:t xml:space="preserve">List training required to transport biohazardous materials. </w:t>
      </w:r>
      <w:r w:rsidR="00222901" w:rsidRPr="00C702F9">
        <w:rPr>
          <w:color w:val="C00000"/>
        </w:rPr>
        <w:t xml:space="preserve">Note: Training records must be available. </w:t>
      </w:r>
    </w:p>
    <w:p w14:paraId="1AD25A46" w14:textId="7166516A" w:rsidR="00222901" w:rsidRPr="00C702F9" w:rsidRDefault="00297E37" w:rsidP="00297E37">
      <w:pPr>
        <w:rPr>
          <w:color w:val="C00000"/>
        </w:rPr>
      </w:pPr>
      <w:r>
        <w:t>b. Biosecurity:</w:t>
      </w:r>
      <w:r w:rsidR="00222901">
        <w:t xml:space="preserve"> </w:t>
      </w:r>
      <w:r w:rsidR="00222901" w:rsidRPr="00C702F9">
        <w:rPr>
          <w:color w:val="C00000"/>
        </w:rPr>
        <w:t xml:space="preserve">Include biosecurity considerations and/or requirements if relevant. </w:t>
      </w:r>
    </w:p>
    <w:p w14:paraId="12DDF185" w14:textId="5F1D992D" w:rsidR="00222901" w:rsidRPr="00297E37" w:rsidRDefault="00297E37" w:rsidP="00297E37">
      <w:pPr>
        <w:rPr>
          <w:color w:val="C00000"/>
        </w:rPr>
      </w:pPr>
      <w:r>
        <w:t xml:space="preserve">c. </w:t>
      </w:r>
      <w:r w:rsidR="00222901">
        <w:t xml:space="preserve">SOPs: </w:t>
      </w:r>
      <w:r w:rsidR="00222901" w:rsidRPr="00297E37">
        <w:rPr>
          <w:color w:val="C00000"/>
        </w:rPr>
        <w:t>Refer to other relevant SOPs (Agent-specific, storage, spill procedures, etc.)</w:t>
      </w:r>
    </w:p>
    <w:p w14:paraId="3BF356C6" w14:textId="31683E5F" w:rsidR="000D5772" w:rsidRDefault="000D5772" w:rsidP="000D5772">
      <w:pPr>
        <w:pStyle w:val="Heading2"/>
      </w:pPr>
      <w:r>
        <w:t>References</w:t>
      </w:r>
    </w:p>
    <w:p w14:paraId="77A98A58" w14:textId="5EB848AE" w:rsidR="000D5772" w:rsidRDefault="00401803" w:rsidP="000D5772">
      <w:pPr>
        <w:pStyle w:val="ListParagraph"/>
        <w:numPr>
          <w:ilvl w:val="0"/>
          <w:numId w:val="9"/>
        </w:numPr>
      </w:pPr>
      <w:r>
        <w:t>WHO Laboratory Biosafety Manual</w:t>
      </w:r>
      <w:r w:rsidR="002D5042">
        <w:t>, 4</w:t>
      </w:r>
      <w:r w:rsidR="002D5042" w:rsidRPr="002D5042">
        <w:rPr>
          <w:vertAlign w:val="superscript"/>
        </w:rPr>
        <w:t>th</w:t>
      </w:r>
      <w:r w:rsidR="002D5042">
        <w:t xml:space="preserve"> Edition, </w:t>
      </w:r>
      <w:r w:rsidR="001F5E73">
        <w:t>Section 6,</w:t>
      </w:r>
      <w:r w:rsidR="00E9187E">
        <w:t xml:space="preserve"> </w:t>
      </w:r>
      <w:r w:rsidR="002D5042">
        <w:t>2020</w:t>
      </w:r>
    </w:p>
    <w:p w14:paraId="62E04967" w14:textId="59B77BAB" w:rsidR="00E9187E" w:rsidRPr="000D5772" w:rsidRDefault="008B53B9" w:rsidP="000D5772">
      <w:pPr>
        <w:pStyle w:val="ListParagraph"/>
        <w:numPr>
          <w:ilvl w:val="0"/>
          <w:numId w:val="9"/>
        </w:numPr>
      </w:pPr>
      <w:r>
        <w:t>WOAH, OIE Terrestrial Manual, Chapter 1.1.3</w:t>
      </w:r>
      <w:r w:rsidR="007A1A67">
        <w:t>, 2018</w:t>
      </w:r>
    </w:p>
    <w:p w14:paraId="07842663" w14:textId="0F7E0EF0" w:rsidR="00EF1051" w:rsidRDefault="00C702F9" w:rsidP="00C702F9">
      <w:pPr>
        <w:pStyle w:val="Heading2"/>
      </w:pPr>
      <w:r>
        <w:lastRenderedPageBreak/>
        <w:t>Document history</w:t>
      </w:r>
    </w:p>
    <w:p w14:paraId="5F8D6061" w14:textId="285BC977" w:rsidR="00C702F9" w:rsidRPr="00C702F9" w:rsidRDefault="00C702F9" w:rsidP="00C702F9">
      <w:pPr>
        <w:rPr>
          <w:color w:val="C00000"/>
        </w:rPr>
      </w:pPr>
      <w:r w:rsidRPr="00C702F9">
        <w:rPr>
          <w:color w:val="C00000"/>
        </w:rPr>
        <w:t>Complete the table to keep track of changes to the SOP. All changes must be approved (according to internal requirements)</w:t>
      </w:r>
    </w:p>
    <w:tbl>
      <w:tblPr>
        <w:tblStyle w:val="TableGrid"/>
        <w:tblW w:w="9038" w:type="dxa"/>
        <w:tblLook w:val="04A0" w:firstRow="1" w:lastRow="0" w:firstColumn="1" w:lastColumn="0" w:noHBand="0" w:noVBand="1"/>
      </w:tblPr>
      <w:tblGrid>
        <w:gridCol w:w="1804"/>
        <w:gridCol w:w="1474"/>
        <w:gridCol w:w="3957"/>
        <w:gridCol w:w="1803"/>
      </w:tblGrid>
      <w:tr w:rsidR="00C702F9" w:rsidRPr="00C702F9" w14:paraId="2C3EA916" w14:textId="77777777" w:rsidTr="00B65C6D">
        <w:tc>
          <w:tcPr>
            <w:tcW w:w="9038" w:type="dxa"/>
            <w:gridSpan w:val="4"/>
            <w:shd w:val="clear" w:color="auto" w:fill="C1E4F5" w:themeFill="accent1" w:themeFillTint="33"/>
          </w:tcPr>
          <w:p w14:paraId="1DF71DCB" w14:textId="77777777" w:rsidR="00C702F9" w:rsidRPr="00C702F9" w:rsidRDefault="00C702F9" w:rsidP="00C702F9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702F9">
              <w:rPr>
                <w:b/>
                <w:bCs/>
                <w:sz w:val="22"/>
                <w:szCs w:val="22"/>
                <w:lang w:val="en-GB"/>
              </w:rPr>
              <w:t>Version History</w:t>
            </w:r>
          </w:p>
        </w:tc>
      </w:tr>
      <w:tr w:rsidR="00C702F9" w:rsidRPr="00C702F9" w14:paraId="0CA72E0A" w14:textId="77777777" w:rsidTr="00B65C6D">
        <w:tc>
          <w:tcPr>
            <w:tcW w:w="1804" w:type="dxa"/>
            <w:shd w:val="clear" w:color="auto" w:fill="C1E4F5" w:themeFill="accent1" w:themeFillTint="33"/>
          </w:tcPr>
          <w:p w14:paraId="7AE972E3" w14:textId="77777777" w:rsidR="00C702F9" w:rsidRPr="00C702F9" w:rsidRDefault="00C702F9" w:rsidP="00C702F9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702F9">
              <w:rPr>
                <w:b/>
                <w:bCs/>
                <w:sz w:val="22"/>
                <w:szCs w:val="22"/>
                <w:lang w:val="en-GB"/>
              </w:rPr>
              <w:t>Version number</w:t>
            </w:r>
          </w:p>
        </w:tc>
        <w:tc>
          <w:tcPr>
            <w:tcW w:w="1474" w:type="dxa"/>
            <w:shd w:val="clear" w:color="auto" w:fill="C1E4F5" w:themeFill="accent1" w:themeFillTint="33"/>
          </w:tcPr>
          <w:p w14:paraId="68E9785E" w14:textId="77777777" w:rsidR="00C702F9" w:rsidRPr="00C702F9" w:rsidRDefault="00C702F9" w:rsidP="00C702F9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702F9">
              <w:rPr>
                <w:b/>
                <w:bCs/>
                <w:sz w:val="22"/>
                <w:szCs w:val="22"/>
                <w:lang w:val="en-GB"/>
              </w:rPr>
              <w:t>Date</w:t>
            </w:r>
          </w:p>
        </w:tc>
        <w:tc>
          <w:tcPr>
            <w:tcW w:w="3957" w:type="dxa"/>
            <w:shd w:val="clear" w:color="auto" w:fill="C1E4F5" w:themeFill="accent1" w:themeFillTint="33"/>
          </w:tcPr>
          <w:p w14:paraId="5FBBA728" w14:textId="77777777" w:rsidR="00C702F9" w:rsidRPr="00C702F9" w:rsidRDefault="00C702F9" w:rsidP="00C702F9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702F9">
              <w:rPr>
                <w:b/>
                <w:bCs/>
                <w:sz w:val="22"/>
                <w:szCs w:val="22"/>
                <w:lang w:val="en-GB"/>
              </w:rPr>
              <w:t xml:space="preserve">Changes </w:t>
            </w:r>
          </w:p>
        </w:tc>
        <w:tc>
          <w:tcPr>
            <w:tcW w:w="1803" w:type="dxa"/>
            <w:shd w:val="clear" w:color="auto" w:fill="C1E4F5" w:themeFill="accent1" w:themeFillTint="33"/>
          </w:tcPr>
          <w:p w14:paraId="3D0890C8" w14:textId="77777777" w:rsidR="00C702F9" w:rsidRPr="00C702F9" w:rsidRDefault="00C702F9" w:rsidP="00C702F9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C702F9">
              <w:rPr>
                <w:b/>
                <w:bCs/>
                <w:sz w:val="22"/>
                <w:szCs w:val="22"/>
                <w:lang w:val="en-GB"/>
              </w:rPr>
              <w:t>Approved by</w:t>
            </w:r>
          </w:p>
        </w:tc>
      </w:tr>
      <w:tr w:rsidR="00C702F9" w:rsidRPr="00C702F9" w14:paraId="1042682D" w14:textId="77777777" w:rsidTr="00B65C6D">
        <w:tc>
          <w:tcPr>
            <w:tcW w:w="1804" w:type="dxa"/>
          </w:tcPr>
          <w:p w14:paraId="049DDFE5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</w:tcPr>
          <w:p w14:paraId="37A318C0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3957" w:type="dxa"/>
          </w:tcPr>
          <w:p w14:paraId="06F95F4F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03" w:type="dxa"/>
          </w:tcPr>
          <w:p w14:paraId="27CA2035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</w:tr>
      <w:tr w:rsidR="00C702F9" w:rsidRPr="00C702F9" w14:paraId="0C3A88E0" w14:textId="77777777" w:rsidTr="00B65C6D">
        <w:tc>
          <w:tcPr>
            <w:tcW w:w="1804" w:type="dxa"/>
          </w:tcPr>
          <w:p w14:paraId="5EA32E6F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474" w:type="dxa"/>
          </w:tcPr>
          <w:p w14:paraId="353938FC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3957" w:type="dxa"/>
          </w:tcPr>
          <w:p w14:paraId="6F4BDB29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03" w:type="dxa"/>
          </w:tcPr>
          <w:p w14:paraId="4C2395E6" w14:textId="77777777" w:rsidR="00C702F9" w:rsidRPr="00C702F9" w:rsidRDefault="00C702F9" w:rsidP="00C702F9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08270916" w14:textId="77777777" w:rsidR="005A07C4" w:rsidRPr="005A07C4" w:rsidRDefault="005A07C4" w:rsidP="00F84707">
      <w:pPr>
        <w:spacing w:after="120" w:line="240" w:lineRule="auto"/>
        <w:rPr>
          <w:lang w:val="en-ZA"/>
        </w:rPr>
      </w:pPr>
    </w:p>
    <w:sectPr w:rsidR="005A07C4" w:rsidRPr="005A07C4" w:rsidSect="00E12819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748B" w14:textId="77777777" w:rsidR="00AD5B42" w:rsidRDefault="00AD5B42" w:rsidP="005A07C4">
      <w:pPr>
        <w:spacing w:after="0" w:line="240" w:lineRule="auto"/>
      </w:pPr>
      <w:r>
        <w:separator/>
      </w:r>
    </w:p>
  </w:endnote>
  <w:endnote w:type="continuationSeparator" w:id="0">
    <w:p w14:paraId="420B0722" w14:textId="77777777" w:rsidR="00AD5B42" w:rsidRDefault="00AD5B42" w:rsidP="005A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35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75D54" w14:textId="3DCFA53B" w:rsidR="00EB6008" w:rsidRDefault="00EB60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9685C" w14:textId="77777777" w:rsidR="00EB6008" w:rsidRDefault="00EB6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C55D" w14:textId="77777777" w:rsidR="00AD5B42" w:rsidRDefault="00AD5B42" w:rsidP="005A07C4">
      <w:pPr>
        <w:spacing w:after="0" w:line="240" w:lineRule="auto"/>
      </w:pPr>
      <w:r>
        <w:separator/>
      </w:r>
    </w:p>
  </w:footnote>
  <w:footnote w:type="continuationSeparator" w:id="0">
    <w:p w14:paraId="4F65EFC6" w14:textId="77777777" w:rsidR="00AD5B42" w:rsidRDefault="00AD5B42" w:rsidP="005A07C4">
      <w:pPr>
        <w:spacing w:after="0" w:line="240" w:lineRule="auto"/>
      </w:pPr>
      <w:r>
        <w:continuationSeparator/>
      </w:r>
    </w:p>
  </w:footnote>
  <w:footnote w:id="1">
    <w:p w14:paraId="63897FBF" w14:textId="0C3FAA6A" w:rsidR="005C052E" w:rsidRPr="005C052E" w:rsidRDefault="005C052E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H</w:t>
      </w:r>
      <w:r w:rsidRPr="005C052E">
        <w:t>uman or animal specimens, GMOs, biological materials or waste known or expected to contain biological agents capable of causing infection</w:t>
      </w:r>
      <w:r w:rsidR="00332D06">
        <w:t xml:space="preserve"> in humans or animals</w:t>
      </w:r>
      <w:r w:rsidRPr="005C052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CellMar>
        <w:bottom w:w="57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2389D" w:rsidRPr="003F0CA0" w14:paraId="099D102E" w14:textId="77777777" w:rsidTr="0094464B">
      <w:trPr>
        <w:jc w:val="center"/>
      </w:trPr>
      <w:tc>
        <w:tcPr>
          <w:tcW w:w="9016" w:type="dxa"/>
          <w:gridSpan w:val="2"/>
          <w:shd w:val="clear" w:color="auto" w:fill="83CAEB" w:themeFill="accent1" w:themeFillTint="66"/>
        </w:tcPr>
        <w:p w14:paraId="1F9DF3C2" w14:textId="77777777" w:rsidR="0002389D" w:rsidRPr="003F0CA0" w:rsidRDefault="0002389D" w:rsidP="0002389D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TRANSPORT SOP</w:t>
          </w:r>
        </w:p>
      </w:tc>
    </w:tr>
    <w:tr w:rsidR="0002389D" w:rsidRPr="003F0CA0" w14:paraId="634A9515" w14:textId="77777777" w:rsidTr="0094464B">
      <w:trPr>
        <w:jc w:val="center"/>
      </w:trPr>
      <w:tc>
        <w:tcPr>
          <w:tcW w:w="4508" w:type="dxa"/>
        </w:tcPr>
        <w:p w14:paraId="698258C0" w14:textId="77777777" w:rsidR="0002389D" w:rsidRPr="003F0CA0" w:rsidRDefault="0002389D" w:rsidP="0002389D">
          <w:pPr>
            <w:rPr>
              <w:sz w:val="20"/>
              <w:szCs w:val="20"/>
            </w:rPr>
          </w:pPr>
          <w:r w:rsidRPr="003F0CA0">
            <w:rPr>
              <w:sz w:val="20"/>
              <w:szCs w:val="20"/>
            </w:rPr>
            <w:t>Insert unique SOP code/nr</w:t>
          </w:r>
        </w:p>
      </w:tc>
      <w:tc>
        <w:tcPr>
          <w:tcW w:w="4508" w:type="dxa"/>
        </w:tcPr>
        <w:p w14:paraId="4893A5C0" w14:textId="77777777" w:rsidR="0002389D" w:rsidRPr="003F0CA0" w:rsidRDefault="0002389D" w:rsidP="0002389D">
          <w:pPr>
            <w:rPr>
              <w:sz w:val="20"/>
              <w:szCs w:val="20"/>
            </w:rPr>
          </w:pPr>
          <w:r w:rsidRPr="003F0CA0">
            <w:rPr>
              <w:sz w:val="20"/>
              <w:szCs w:val="20"/>
            </w:rPr>
            <w:fldChar w:fldCharType="begin"/>
          </w:r>
          <w:r w:rsidRPr="003F0CA0">
            <w:rPr>
              <w:sz w:val="20"/>
              <w:szCs w:val="20"/>
            </w:rPr>
            <w:instrText xml:space="preserve"> PAGE  \* Arabic  \* MERGEFORMAT </w:instrText>
          </w:r>
          <w:r w:rsidRPr="003F0CA0">
            <w:rPr>
              <w:sz w:val="20"/>
              <w:szCs w:val="20"/>
            </w:rPr>
            <w:fldChar w:fldCharType="separate"/>
          </w:r>
          <w:r w:rsidRPr="003F0CA0">
            <w:rPr>
              <w:noProof/>
              <w:sz w:val="20"/>
              <w:szCs w:val="20"/>
            </w:rPr>
            <w:t>1</w:t>
          </w:r>
          <w:r w:rsidRPr="003F0CA0">
            <w:rPr>
              <w:sz w:val="20"/>
              <w:szCs w:val="20"/>
            </w:rPr>
            <w:fldChar w:fldCharType="end"/>
          </w:r>
          <w:r w:rsidRPr="003F0CA0">
            <w:rPr>
              <w:sz w:val="20"/>
              <w:szCs w:val="20"/>
            </w:rPr>
            <w:t xml:space="preserve"> of </w:t>
          </w:r>
          <w:r w:rsidRPr="003F0CA0">
            <w:rPr>
              <w:sz w:val="20"/>
              <w:szCs w:val="20"/>
            </w:rPr>
            <w:fldChar w:fldCharType="begin"/>
          </w:r>
          <w:r w:rsidRPr="003F0CA0">
            <w:rPr>
              <w:sz w:val="20"/>
              <w:szCs w:val="20"/>
            </w:rPr>
            <w:instrText xml:space="preserve"> NUMPAGES  \* Arabic  \* MERGEFORMAT </w:instrText>
          </w:r>
          <w:r w:rsidRPr="003F0CA0">
            <w:rPr>
              <w:sz w:val="20"/>
              <w:szCs w:val="20"/>
            </w:rPr>
            <w:fldChar w:fldCharType="separate"/>
          </w:r>
          <w:r w:rsidRPr="003F0CA0">
            <w:rPr>
              <w:noProof/>
              <w:sz w:val="20"/>
              <w:szCs w:val="20"/>
            </w:rPr>
            <w:t>1</w:t>
          </w:r>
          <w:r w:rsidRPr="003F0CA0">
            <w:rPr>
              <w:sz w:val="20"/>
              <w:szCs w:val="20"/>
            </w:rPr>
            <w:fldChar w:fldCharType="end"/>
          </w:r>
        </w:p>
      </w:tc>
    </w:tr>
  </w:tbl>
  <w:p w14:paraId="61482F5B" w14:textId="77777777" w:rsidR="0002389D" w:rsidRDefault="00023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D733" w14:textId="77777777" w:rsidR="005E283E" w:rsidRDefault="005E283E" w:rsidP="00ED214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68D"/>
    <w:multiLevelType w:val="hybridMultilevel"/>
    <w:tmpl w:val="DE2602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716"/>
    <w:multiLevelType w:val="hybridMultilevel"/>
    <w:tmpl w:val="E4926686"/>
    <w:lvl w:ilvl="0" w:tplc="8692205C">
      <w:start w:val="1"/>
      <w:numFmt w:val="decimal"/>
      <w:lvlText w:val="%1."/>
      <w:lvlJc w:val="left"/>
      <w:pPr>
        <w:ind w:left="1020" w:hanging="360"/>
      </w:pPr>
    </w:lvl>
    <w:lvl w:ilvl="1" w:tplc="B2E0B13C">
      <w:start w:val="1"/>
      <w:numFmt w:val="decimal"/>
      <w:lvlText w:val="%2."/>
      <w:lvlJc w:val="left"/>
      <w:pPr>
        <w:ind w:left="1020" w:hanging="360"/>
      </w:pPr>
    </w:lvl>
    <w:lvl w:ilvl="2" w:tplc="EB62B75C">
      <w:start w:val="1"/>
      <w:numFmt w:val="decimal"/>
      <w:lvlText w:val="%3."/>
      <w:lvlJc w:val="left"/>
      <w:pPr>
        <w:ind w:left="1020" w:hanging="360"/>
      </w:pPr>
    </w:lvl>
    <w:lvl w:ilvl="3" w:tplc="C4BCEBA2">
      <w:start w:val="1"/>
      <w:numFmt w:val="decimal"/>
      <w:lvlText w:val="%4."/>
      <w:lvlJc w:val="left"/>
      <w:pPr>
        <w:ind w:left="1020" w:hanging="360"/>
      </w:pPr>
    </w:lvl>
    <w:lvl w:ilvl="4" w:tplc="4C68BC34">
      <w:start w:val="1"/>
      <w:numFmt w:val="decimal"/>
      <w:lvlText w:val="%5."/>
      <w:lvlJc w:val="left"/>
      <w:pPr>
        <w:ind w:left="1020" w:hanging="360"/>
      </w:pPr>
    </w:lvl>
    <w:lvl w:ilvl="5" w:tplc="BF444672">
      <w:start w:val="1"/>
      <w:numFmt w:val="decimal"/>
      <w:lvlText w:val="%6."/>
      <w:lvlJc w:val="left"/>
      <w:pPr>
        <w:ind w:left="1020" w:hanging="360"/>
      </w:pPr>
    </w:lvl>
    <w:lvl w:ilvl="6" w:tplc="E3BE7D16">
      <w:start w:val="1"/>
      <w:numFmt w:val="decimal"/>
      <w:lvlText w:val="%7."/>
      <w:lvlJc w:val="left"/>
      <w:pPr>
        <w:ind w:left="1020" w:hanging="360"/>
      </w:pPr>
    </w:lvl>
    <w:lvl w:ilvl="7" w:tplc="4D0C504A">
      <w:start w:val="1"/>
      <w:numFmt w:val="decimal"/>
      <w:lvlText w:val="%8."/>
      <w:lvlJc w:val="left"/>
      <w:pPr>
        <w:ind w:left="1020" w:hanging="360"/>
      </w:pPr>
    </w:lvl>
    <w:lvl w:ilvl="8" w:tplc="7D9C449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B8544AE"/>
    <w:multiLevelType w:val="hybridMultilevel"/>
    <w:tmpl w:val="5CE4F692"/>
    <w:lvl w:ilvl="0" w:tplc="61C2D71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24746"/>
    <w:multiLevelType w:val="hybridMultilevel"/>
    <w:tmpl w:val="F6A26D7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13F9D"/>
    <w:multiLevelType w:val="hybridMultilevel"/>
    <w:tmpl w:val="53EE6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23C"/>
    <w:multiLevelType w:val="hybridMultilevel"/>
    <w:tmpl w:val="115C702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E6BAC"/>
    <w:multiLevelType w:val="multilevel"/>
    <w:tmpl w:val="D9621E58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Heading3"/>
      <w:isLgl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D46185"/>
    <w:multiLevelType w:val="hybridMultilevel"/>
    <w:tmpl w:val="097C4B4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67313"/>
    <w:multiLevelType w:val="hybridMultilevel"/>
    <w:tmpl w:val="271826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632254">
    <w:abstractNumId w:val="0"/>
  </w:num>
  <w:num w:numId="2" w16cid:durableId="1902715186">
    <w:abstractNumId w:val="1"/>
  </w:num>
  <w:num w:numId="3" w16cid:durableId="292178518">
    <w:abstractNumId w:val="8"/>
  </w:num>
  <w:num w:numId="4" w16cid:durableId="724108015">
    <w:abstractNumId w:val="6"/>
  </w:num>
  <w:num w:numId="5" w16cid:durableId="32833687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643389">
    <w:abstractNumId w:val="2"/>
  </w:num>
  <w:num w:numId="7" w16cid:durableId="2126534226">
    <w:abstractNumId w:val="4"/>
  </w:num>
  <w:num w:numId="8" w16cid:durableId="1767800062">
    <w:abstractNumId w:val="7"/>
  </w:num>
  <w:num w:numId="9" w16cid:durableId="811749342">
    <w:abstractNumId w:val="3"/>
  </w:num>
  <w:num w:numId="10" w16cid:durableId="82273959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546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C4"/>
    <w:rsid w:val="000121F7"/>
    <w:rsid w:val="000139F7"/>
    <w:rsid w:val="000179C6"/>
    <w:rsid w:val="00022638"/>
    <w:rsid w:val="0002389D"/>
    <w:rsid w:val="000254E5"/>
    <w:rsid w:val="00025E76"/>
    <w:rsid w:val="00061E18"/>
    <w:rsid w:val="000720ED"/>
    <w:rsid w:val="00097215"/>
    <w:rsid w:val="000A6245"/>
    <w:rsid w:val="000A6715"/>
    <w:rsid w:val="000B009C"/>
    <w:rsid w:val="000B08AC"/>
    <w:rsid w:val="000B39EA"/>
    <w:rsid w:val="000C32A1"/>
    <w:rsid w:val="000D1890"/>
    <w:rsid w:val="000D196B"/>
    <w:rsid w:val="000D5772"/>
    <w:rsid w:val="000E7093"/>
    <w:rsid w:val="00103255"/>
    <w:rsid w:val="001034E6"/>
    <w:rsid w:val="00106F3E"/>
    <w:rsid w:val="00107F60"/>
    <w:rsid w:val="00113515"/>
    <w:rsid w:val="00115355"/>
    <w:rsid w:val="00125004"/>
    <w:rsid w:val="00125FBD"/>
    <w:rsid w:val="00126AF6"/>
    <w:rsid w:val="0013270C"/>
    <w:rsid w:val="00132E2A"/>
    <w:rsid w:val="001511F1"/>
    <w:rsid w:val="001716FB"/>
    <w:rsid w:val="001867AA"/>
    <w:rsid w:val="00190EDD"/>
    <w:rsid w:val="0019195F"/>
    <w:rsid w:val="00192B1F"/>
    <w:rsid w:val="00193634"/>
    <w:rsid w:val="001A2D39"/>
    <w:rsid w:val="001D32F2"/>
    <w:rsid w:val="001D3526"/>
    <w:rsid w:val="001D4823"/>
    <w:rsid w:val="001E026A"/>
    <w:rsid w:val="001E6903"/>
    <w:rsid w:val="001F5E73"/>
    <w:rsid w:val="001F6393"/>
    <w:rsid w:val="001F7946"/>
    <w:rsid w:val="00203A57"/>
    <w:rsid w:val="00205050"/>
    <w:rsid w:val="00222901"/>
    <w:rsid w:val="00230EF8"/>
    <w:rsid w:val="00231C6E"/>
    <w:rsid w:val="0023297E"/>
    <w:rsid w:val="00236B15"/>
    <w:rsid w:val="002467E7"/>
    <w:rsid w:val="0025357C"/>
    <w:rsid w:val="00266A42"/>
    <w:rsid w:val="00272C94"/>
    <w:rsid w:val="0028122F"/>
    <w:rsid w:val="00287D56"/>
    <w:rsid w:val="00297E37"/>
    <w:rsid w:val="002A1BFA"/>
    <w:rsid w:val="002A46CC"/>
    <w:rsid w:val="002D5042"/>
    <w:rsid w:val="002D51CB"/>
    <w:rsid w:val="002F51DA"/>
    <w:rsid w:val="0030471A"/>
    <w:rsid w:val="00324563"/>
    <w:rsid w:val="00324E9A"/>
    <w:rsid w:val="00326C26"/>
    <w:rsid w:val="00332D06"/>
    <w:rsid w:val="00336EA0"/>
    <w:rsid w:val="003571C6"/>
    <w:rsid w:val="00362D83"/>
    <w:rsid w:val="00367DB7"/>
    <w:rsid w:val="003766C0"/>
    <w:rsid w:val="0038064A"/>
    <w:rsid w:val="003A0BB3"/>
    <w:rsid w:val="003A35AA"/>
    <w:rsid w:val="003B180E"/>
    <w:rsid w:val="003B51A0"/>
    <w:rsid w:val="003B6C1B"/>
    <w:rsid w:val="003D2402"/>
    <w:rsid w:val="003D5AF7"/>
    <w:rsid w:val="003E5689"/>
    <w:rsid w:val="003E58A1"/>
    <w:rsid w:val="003F0CA0"/>
    <w:rsid w:val="003F188B"/>
    <w:rsid w:val="003F5638"/>
    <w:rsid w:val="00400198"/>
    <w:rsid w:val="00401803"/>
    <w:rsid w:val="00405907"/>
    <w:rsid w:val="00412348"/>
    <w:rsid w:val="00412690"/>
    <w:rsid w:val="0042390C"/>
    <w:rsid w:val="004362D1"/>
    <w:rsid w:val="00461D38"/>
    <w:rsid w:val="004630D8"/>
    <w:rsid w:val="00467E66"/>
    <w:rsid w:val="00491709"/>
    <w:rsid w:val="004968C2"/>
    <w:rsid w:val="004B28DC"/>
    <w:rsid w:val="004C065D"/>
    <w:rsid w:val="004C69BF"/>
    <w:rsid w:val="004D019E"/>
    <w:rsid w:val="004D20D4"/>
    <w:rsid w:val="004F1EEC"/>
    <w:rsid w:val="00512146"/>
    <w:rsid w:val="00524A2E"/>
    <w:rsid w:val="00527E8C"/>
    <w:rsid w:val="005428CE"/>
    <w:rsid w:val="00544352"/>
    <w:rsid w:val="005444AB"/>
    <w:rsid w:val="005530AF"/>
    <w:rsid w:val="0055636B"/>
    <w:rsid w:val="005641E1"/>
    <w:rsid w:val="005701F7"/>
    <w:rsid w:val="005A07C4"/>
    <w:rsid w:val="005A4AD7"/>
    <w:rsid w:val="005C052E"/>
    <w:rsid w:val="005D60FA"/>
    <w:rsid w:val="005E1D5D"/>
    <w:rsid w:val="005E283E"/>
    <w:rsid w:val="005E635C"/>
    <w:rsid w:val="005F6153"/>
    <w:rsid w:val="00603CF7"/>
    <w:rsid w:val="00604563"/>
    <w:rsid w:val="00616115"/>
    <w:rsid w:val="006170C2"/>
    <w:rsid w:val="00626630"/>
    <w:rsid w:val="0063594E"/>
    <w:rsid w:val="0064214D"/>
    <w:rsid w:val="006462B7"/>
    <w:rsid w:val="00650178"/>
    <w:rsid w:val="0065172B"/>
    <w:rsid w:val="00653960"/>
    <w:rsid w:val="00657FB4"/>
    <w:rsid w:val="00664509"/>
    <w:rsid w:val="00671A1F"/>
    <w:rsid w:val="00675193"/>
    <w:rsid w:val="00684CC0"/>
    <w:rsid w:val="006874D7"/>
    <w:rsid w:val="006B0EA9"/>
    <w:rsid w:val="006D125B"/>
    <w:rsid w:val="006D39AA"/>
    <w:rsid w:val="006E341F"/>
    <w:rsid w:val="0070229C"/>
    <w:rsid w:val="00706618"/>
    <w:rsid w:val="007105A1"/>
    <w:rsid w:val="00715A9F"/>
    <w:rsid w:val="00727B75"/>
    <w:rsid w:val="007357E1"/>
    <w:rsid w:val="007449FC"/>
    <w:rsid w:val="00744F1C"/>
    <w:rsid w:val="007465E6"/>
    <w:rsid w:val="00754126"/>
    <w:rsid w:val="007561F6"/>
    <w:rsid w:val="00756465"/>
    <w:rsid w:val="00776443"/>
    <w:rsid w:val="00785FCD"/>
    <w:rsid w:val="007A1A67"/>
    <w:rsid w:val="007A34F5"/>
    <w:rsid w:val="007A49CF"/>
    <w:rsid w:val="007A63F7"/>
    <w:rsid w:val="007A6606"/>
    <w:rsid w:val="007A74B1"/>
    <w:rsid w:val="007B12BA"/>
    <w:rsid w:val="007B17BA"/>
    <w:rsid w:val="007D7284"/>
    <w:rsid w:val="007E1A2C"/>
    <w:rsid w:val="007E1F9A"/>
    <w:rsid w:val="007F433A"/>
    <w:rsid w:val="007F5CDC"/>
    <w:rsid w:val="007F74FD"/>
    <w:rsid w:val="0080072A"/>
    <w:rsid w:val="00803622"/>
    <w:rsid w:val="00804946"/>
    <w:rsid w:val="00807902"/>
    <w:rsid w:val="008141DD"/>
    <w:rsid w:val="00822E3D"/>
    <w:rsid w:val="008243C2"/>
    <w:rsid w:val="00826F1A"/>
    <w:rsid w:val="008413ED"/>
    <w:rsid w:val="0084588B"/>
    <w:rsid w:val="00853717"/>
    <w:rsid w:val="00861E02"/>
    <w:rsid w:val="00871AC3"/>
    <w:rsid w:val="0087637F"/>
    <w:rsid w:val="00881821"/>
    <w:rsid w:val="00883DD6"/>
    <w:rsid w:val="00885070"/>
    <w:rsid w:val="0089303E"/>
    <w:rsid w:val="008A09C9"/>
    <w:rsid w:val="008B019E"/>
    <w:rsid w:val="008B46CF"/>
    <w:rsid w:val="008B53B9"/>
    <w:rsid w:val="008C0C60"/>
    <w:rsid w:val="008D6755"/>
    <w:rsid w:val="008E7018"/>
    <w:rsid w:val="00911A5D"/>
    <w:rsid w:val="00916231"/>
    <w:rsid w:val="009228EA"/>
    <w:rsid w:val="00935AB3"/>
    <w:rsid w:val="00936635"/>
    <w:rsid w:val="0094209A"/>
    <w:rsid w:val="00945211"/>
    <w:rsid w:val="009471A8"/>
    <w:rsid w:val="009500F2"/>
    <w:rsid w:val="0095190E"/>
    <w:rsid w:val="00956196"/>
    <w:rsid w:val="009649E7"/>
    <w:rsid w:val="009720E1"/>
    <w:rsid w:val="0098042B"/>
    <w:rsid w:val="00981F50"/>
    <w:rsid w:val="00991E67"/>
    <w:rsid w:val="009C3088"/>
    <w:rsid w:val="009F580B"/>
    <w:rsid w:val="00A00D5A"/>
    <w:rsid w:val="00A02000"/>
    <w:rsid w:val="00A02510"/>
    <w:rsid w:val="00A072B4"/>
    <w:rsid w:val="00A11CA9"/>
    <w:rsid w:val="00A15141"/>
    <w:rsid w:val="00A16825"/>
    <w:rsid w:val="00A35310"/>
    <w:rsid w:val="00A36104"/>
    <w:rsid w:val="00A407B3"/>
    <w:rsid w:val="00AA63A9"/>
    <w:rsid w:val="00AB2BB7"/>
    <w:rsid w:val="00AB2C3D"/>
    <w:rsid w:val="00AB3658"/>
    <w:rsid w:val="00AB6BB5"/>
    <w:rsid w:val="00AB70E5"/>
    <w:rsid w:val="00AC5FC0"/>
    <w:rsid w:val="00AD0253"/>
    <w:rsid w:val="00AD0755"/>
    <w:rsid w:val="00AD5B42"/>
    <w:rsid w:val="00AD7F90"/>
    <w:rsid w:val="00AE016F"/>
    <w:rsid w:val="00AF1416"/>
    <w:rsid w:val="00AF3D8E"/>
    <w:rsid w:val="00AF6A2E"/>
    <w:rsid w:val="00AF7CC3"/>
    <w:rsid w:val="00AF7DA0"/>
    <w:rsid w:val="00B000D0"/>
    <w:rsid w:val="00B015E2"/>
    <w:rsid w:val="00B04108"/>
    <w:rsid w:val="00B452BA"/>
    <w:rsid w:val="00B72681"/>
    <w:rsid w:val="00B83506"/>
    <w:rsid w:val="00BA1BDF"/>
    <w:rsid w:val="00BB0BBF"/>
    <w:rsid w:val="00BB60E6"/>
    <w:rsid w:val="00BD4E58"/>
    <w:rsid w:val="00BE3AD8"/>
    <w:rsid w:val="00BF208B"/>
    <w:rsid w:val="00C03AD4"/>
    <w:rsid w:val="00C116F5"/>
    <w:rsid w:val="00C12209"/>
    <w:rsid w:val="00C2231E"/>
    <w:rsid w:val="00C2256F"/>
    <w:rsid w:val="00C309BD"/>
    <w:rsid w:val="00C4752E"/>
    <w:rsid w:val="00C51678"/>
    <w:rsid w:val="00C56722"/>
    <w:rsid w:val="00C614B4"/>
    <w:rsid w:val="00C702F9"/>
    <w:rsid w:val="00C72642"/>
    <w:rsid w:val="00C738D5"/>
    <w:rsid w:val="00C75754"/>
    <w:rsid w:val="00C80135"/>
    <w:rsid w:val="00C935C4"/>
    <w:rsid w:val="00CC59DE"/>
    <w:rsid w:val="00CC7BAD"/>
    <w:rsid w:val="00CD3900"/>
    <w:rsid w:val="00CE6D06"/>
    <w:rsid w:val="00D1645D"/>
    <w:rsid w:val="00D24325"/>
    <w:rsid w:val="00D26A62"/>
    <w:rsid w:val="00D40485"/>
    <w:rsid w:val="00D4233D"/>
    <w:rsid w:val="00D462E0"/>
    <w:rsid w:val="00D46D8B"/>
    <w:rsid w:val="00D46EF6"/>
    <w:rsid w:val="00D516F7"/>
    <w:rsid w:val="00D57BCE"/>
    <w:rsid w:val="00D64EE8"/>
    <w:rsid w:val="00D67090"/>
    <w:rsid w:val="00D8357A"/>
    <w:rsid w:val="00D9558B"/>
    <w:rsid w:val="00DA04B7"/>
    <w:rsid w:val="00DA54BD"/>
    <w:rsid w:val="00DC06DF"/>
    <w:rsid w:val="00DC354E"/>
    <w:rsid w:val="00DC6E3A"/>
    <w:rsid w:val="00DD66B6"/>
    <w:rsid w:val="00DD6D43"/>
    <w:rsid w:val="00DF5EE0"/>
    <w:rsid w:val="00E12819"/>
    <w:rsid w:val="00E1671A"/>
    <w:rsid w:val="00E31E65"/>
    <w:rsid w:val="00E330F2"/>
    <w:rsid w:val="00E33451"/>
    <w:rsid w:val="00E3597A"/>
    <w:rsid w:val="00E434CD"/>
    <w:rsid w:val="00E478D0"/>
    <w:rsid w:val="00E64662"/>
    <w:rsid w:val="00E64900"/>
    <w:rsid w:val="00E7284B"/>
    <w:rsid w:val="00E9187E"/>
    <w:rsid w:val="00EB1BD3"/>
    <w:rsid w:val="00EB6008"/>
    <w:rsid w:val="00EC3A9C"/>
    <w:rsid w:val="00ED214B"/>
    <w:rsid w:val="00EE5A4F"/>
    <w:rsid w:val="00EF1051"/>
    <w:rsid w:val="00EF2958"/>
    <w:rsid w:val="00F00CA9"/>
    <w:rsid w:val="00F022F5"/>
    <w:rsid w:val="00F12766"/>
    <w:rsid w:val="00F22193"/>
    <w:rsid w:val="00F2524D"/>
    <w:rsid w:val="00F26880"/>
    <w:rsid w:val="00F33BBF"/>
    <w:rsid w:val="00F43902"/>
    <w:rsid w:val="00F570AC"/>
    <w:rsid w:val="00F62CDA"/>
    <w:rsid w:val="00F639F4"/>
    <w:rsid w:val="00F70656"/>
    <w:rsid w:val="00F75BB2"/>
    <w:rsid w:val="00F7728A"/>
    <w:rsid w:val="00F84707"/>
    <w:rsid w:val="00F943EF"/>
    <w:rsid w:val="00F94930"/>
    <w:rsid w:val="00F978EC"/>
    <w:rsid w:val="00FA6A42"/>
    <w:rsid w:val="00FB0C9C"/>
    <w:rsid w:val="00FB7F20"/>
    <w:rsid w:val="00FC7E85"/>
    <w:rsid w:val="00FD0DD1"/>
    <w:rsid w:val="00FD445F"/>
    <w:rsid w:val="00FD790A"/>
    <w:rsid w:val="00FE4A0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FC5395"/>
  <w15:chartTrackingRefBased/>
  <w15:docId w15:val="{2D912F06-7009-413A-BBCA-D303B57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5E2"/>
    <w:pPr>
      <w:keepNext/>
      <w:keepLines/>
      <w:numPr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662"/>
    <w:pPr>
      <w:keepNext/>
      <w:keepLines/>
      <w:numPr>
        <w:ilvl w:val="1"/>
        <w:numId w:val="4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C4"/>
  </w:style>
  <w:style w:type="paragraph" w:styleId="Footer">
    <w:name w:val="footer"/>
    <w:basedOn w:val="Normal"/>
    <w:link w:val="FooterChar"/>
    <w:uiPriority w:val="99"/>
    <w:unhideWhenUsed/>
    <w:rsid w:val="005A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C4"/>
  </w:style>
  <w:style w:type="table" w:styleId="TableGrid">
    <w:name w:val="Table Grid"/>
    <w:basedOn w:val="TableNormal"/>
    <w:uiPriority w:val="39"/>
    <w:rsid w:val="005A07C4"/>
    <w:pPr>
      <w:spacing w:after="0" w:line="240" w:lineRule="auto"/>
    </w:pPr>
    <w:rPr>
      <w:sz w:val="24"/>
      <w:szCs w:val="24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90A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90A"/>
    <w:rPr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AB2C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6F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F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F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4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F0DD-56E2-4C51-9E15-9D4BB549A6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861</Words>
  <Characters>5021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sarita.groenewald@uct.ac.za</dc:creator>
  <cp:keywords/>
  <dc:description/>
  <cp:lastModifiedBy>Sarita Groenewald</cp:lastModifiedBy>
  <cp:revision>89</cp:revision>
  <dcterms:created xsi:type="dcterms:W3CDTF">2025-07-03T08:13:00Z</dcterms:created>
  <dcterms:modified xsi:type="dcterms:W3CDTF">2025-08-01T11:33:00Z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6b0e6d21-3af1-480a-8cad-4a9ba9c3dd34</vt:lpwstr>
  </property>
</Properties>
</file>