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95" w:rsidRPr="009F5FF8" w:rsidRDefault="00411F95" w:rsidP="00411F95">
      <w:pPr>
        <w:rPr>
          <w:rFonts w:asciiTheme="majorHAnsi" w:hAnsiTheme="majorHAnsi" w:cs="Arial"/>
          <w:sz w:val="22"/>
          <w:szCs w:val="20"/>
        </w:rPr>
      </w:pPr>
      <w:bookmarkStart w:id="0" w:name="_GoBack"/>
      <w:bookmarkEnd w:id="0"/>
      <w:r w:rsidRPr="009F5FF8">
        <w:rPr>
          <w:rFonts w:asciiTheme="majorHAnsi" w:hAnsiTheme="majorHAnsi" w:cs="Arial"/>
          <w:sz w:val="22"/>
          <w:szCs w:val="20"/>
        </w:rPr>
        <w:t>Appendix 3</w:t>
      </w:r>
    </w:p>
    <w:p w:rsidR="00411F95" w:rsidRPr="009F5FF8" w:rsidRDefault="00411F95" w:rsidP="00411F95">
      <w:pPr>
        <w:rPr>
          <w:rFonts w:asciiTheme="majorHAnsi" w:hAnsiTheme="majorHAnsi" w:cs="Arial"/>
          <w:b/>
          <w:sz w:val="20"/>
          <w:szCs w:val="20"/>
        </w:rPr>
      </w:pPr>
    </w:p>
    <w:p w:rsidR="00411F95" w:rsidRPr="00B546B3" w:rsidRDefault="00411F95" w:rsidP="00411F95">
      <w:pPr>
        <w:pStyle w:val="Heading2"/>
        <w:pBdr>
          <w:top w:val="none" w:sz="0" w:space="0" w:color="auto"/>
          <w:bottom w:val="none" w:sz="0" w:space="0" w:color="auto"/>
        </w:pBdr>
        <w:shd w:val="clear" w:color="auto" w:fill="auto"/>
        <w:spacing w:before="0" w:after="0"/>
        <w:rPr>
          <w:rFonts w:asciiTheme="majorHAnsi" w:hAnsiTheme="majorHAnsi" w:cs="Arial"/>
          <w:color w:val="5B9BD5" w:themeColor="accent1"/>
          <w:sz w:val="22"/>
        </w:rPr>
      </w:pPr>
      <w:bookmarkStart w:id="1" w:name="_Toc62030059"/>
      <w:bookmarkStart w:id="2" w:name="_Toc332023551"/>
      <w:bookmarkStart w:id="3" w:name="_Toc332026913"/>
      <w:r w:rsidRPr="00B546B3">
        <w:rPr>
          <w:rFonts w:asciiTheme="majorHAnsi" w:hAnsiTheme="majorHAnsi" w:cs="Arial"/>
          <w:color w:val="5B9BD5" w:themeColor="accent1"/>
          <w:sz w:val="22"/>
        </w:rPr>
        <w:t>the Research Section of the Review Report</w:t>
      </w:r>
      <w:bookmarkEnd w:id="1"/>
      <w:bookmarkEnd w:id="2"/>
      <w:bookmarkEnd w:id="3"/>
      <w:r w:rsidRPr="00B546B3">
        <w:rPr>
          <w:rFonts w:asciiTheme="majorHAnsi" w:hAnsiTheme="majorHAnsi" w:cs="Arial"/>
          <w:color w:val="5B9BD5" w:themeColor="accent1"/>
          <w:sz w:val="22"/>
        </w:rPr>
        <w:t xml:space="preserve"> – A GUIDE FOR THE REVIEWERS  </w:t>
      </w:r>
    </w:p>
    <w:p w:rsidR="00411F95" w:rsidRPr="00B546B3" w:rsidRDefault="00411F95" w:rsidP="00411F95">
      <w:pPr>
        <w:rPr>
          <w:rFonts w:asciiTheme="majorHAnsi" w:hAnsiTheme="majorHAnsi" w:cs="Arial"/>
          <w:color w:val="5B9BD5" w:themeColor="accent1"/>
          <w:sz w:val="22"/>
          <w:szCs w:val="20"/>
        </w:rPr>
      </w:pPr>
    </w:p>
    <w:p w:rsidR="00411F95" w:rsidRPr="009F5FF8" w:rsidRDefault="00411F95" w:rsidP="00411F95">
      <w:pPr>
        <w:rPr>
          <w:rFonts w:ascii="Cambria" w:hAnsi="Cambria" w:cs="Arial"/>
          <w:sz w:val="22"/>
          <w:szCs w:val="20"/>
        </w:rPr>
      </w:pPr>
      <w:r w:rsidRPr="009F5FF8">
        <w:rPr>
          <w:rFonts w:ascii="Cambria" w:hAnsi="Cambria" w:cs="Arial"/>
          <w:sz w:val="22"/>
          <w:szCs w:val="20"/>
        </w:rPr>
        <w:t xml:space="preserve">The following is offered as a guide for conducting the review process and completing the </w:t>
      </w:r>
      <w:r w:rsidRPr="009F5FF8">
        <w:rPr>
          <w:rFonts w:ascii="Cambria" w:hAnsi="Cambria" w:cs="Arial"/>
          <w:b/>
          <w:sz w:val="22"/>
          <w:szCs w:val="20"/>
        </w:rPr>
        <w:t xml:space="preserve">review report.  </w:t>
      </w:r>
      <w:r w:rsidRPr="009F5FF8">
        <w:rPr>
          <w:rFonts w:ascii="Cambria" w:hAnsi="Cambria" w:cs="Arial"/>
          <w:sz w:val="22"/>
          <w:szCs w:val="20"/>
        </w:rPr>
        <w:t xml:space="preserve">Amongst other things, the reviewers are expected to consider:  </w:t>
      </w:r>
    </w:p>
    <w:p w:rsidR="00411F95" w:rsidRPr="009F5FF8" w:rsidRDefault="00411F95" w:rsidP="00411F95">
      <w:pPr>
        <w:spacing w:before="60" w:after="60"/>
        <w:rPr>
          <w:rFonts w:ascii="Cambria" w:hAnsi="Cambria" w:cs="Arial"/>
          <w:sz w:val="22"/>
          <w:szCs w:val="20"/>
        </w:rPr>
      </w:pP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The extent to which the self-evaluation portfolio adheres to Guidelines for preparing the research section of the self-review portfolio as in Appendix 1.</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The extent to which there is a focussed or interlinked research agenda.</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The extent and quality of the research conducted in the grouping.</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Linkages to other research groupings or networks.</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Governance and management / planning structure.</w:t>
      </w:r>
    </w:p>
    <w:p w:rsidR="00411F95" w:rsidRPr="009F5FF8" w:rsidRDefault="00411F95" w:rsidP="00411F95">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Sustainability in terms of leadership and resources.</w:t>
      </w:r>
    </w:p>
    <w:p w:rsidR="00411F95" w:rsidRPr="009F5FF8" w:rsidRDefault="00411F95" w:rsidP="00411F95">
      <w:pPr>
        <w:numPr>
          <w:ilvl w:val="0"/>
          <w:numId w:val="1"/>
        </w:numPr>
        <w:tabs>
          <w:tab w:val="clear" w:pos="720"/>
        </w:tabs>
        <w:spacing w:before="60" w:after="60"/>
        <w:ind w:left="357" w:hanging="357"/>
        <w:outlineLvl w:val="1"/>
        <w:rPr>
          <w:rFonts w:ascii="Cambria" w:hAnsi="Cambria" w:cs="Arial"/>
          <w:sz w:val="22"/>
          <w:szCs w:val="20"/>
        </w:rPr>
      </w:pPr>
      <w:r w:rsidRPr="009F5FF8">
        <w:rPr>
          <w:rFonts w:ascii="Cambria" w:hAnsi="Cambria" w:cs="Arial"/>
          <w:sz w:val="22"/>
          <w:szCs w:val="20"/>
        </w:rPr>
        <w:t>Capacity building (including equity and redress issues) through recruitment and participation of postgraduate students and / or postdoctoral fellows</w:t>
      </w:r>
      <w:r w:rsidRPr="009F5FF8">
        <w:rPr>
          <w:rStyle w:val="Emphasis"/>
          <w:rFonts w:ascii="Cambria" w:hAnsi="Cambria" w:cs="Arial"/>
          <w:sz w:val="22"/>
          <w:szCs w:val="20"/>
        </w:rPr>
        <w:t>.</w:t>
      </w:r>
    </w:p>
    <w:p w:rsidR="00411F95" w:rsidRPr="009F5FF8" w:rsidRDefault="00411F95" w:rsidP="00411F95">
      <w:pPr>
        <w:numPr>
          <w:ilvl w:val="0"/>
          <w:numId w:val="1"/>
        </w:numPr>
        <w:tabs>
          <w:tab w:val="clear" w:pos="720"/>
        </w:tabs>
        <w:spacing w:before="60" w:after="60"/>
        <w:ind w:left="357" w:hanging="357"/>
        <w:outlineLvl w:val="1"/>
        <w:rPr>
          <w:rFonts w:ascii="Cambria" w:hAnsi="Cambria" w:cs="Arial"/>
          <w:sz w:val="22"/>
          <w:szCs w:val="20"/>
        </w:rPr>
      </w:pPr>
      <w:r w:rsidRPr="009F5FF8">
        <w:rPr>
          <w:rStyle w:val="Emphasis"/>
          <w:rFonts w:ascii="Cambria" w:hAnsi="Cambria" w:cs="Arial"/>
          <w:sz w:val="22"/>
          <w:szCs w:val="20"/>
        </w:rPr>
        <w:t xml:space="preserve">Any other strengths and weaknesses of the research </w:t>
      </w:r>
      <w:proofErr w:type="gramStart"/>
      <w:r w:rsidRPr="009F5FF8">
        <w:rPr>
          <w:rStyle w:val="Emphasis"/>
          <w:rFonts w:ascii="Cambria" w:hAnsi="Cambria" w:cs="Arial"/>
          <w:sz w:val="22"/>
          <w:szCs w:val="20"/>
        </w:rPr>
        <w:t>grouping,</w:t>
      </w:r>
      <w:proofErr w:type="gramEnd"/>
      <w:r w:rsidRPr="009F5FF8">
        <w:rPr>
          <w:rStyle w:val="Emphasis"/>
          <w:rFonts w:ascii="Cambria" w:hAnsi="Cambria" w:cs="Arial"/>
          <w:sz w:val="22"/>
          <w:szCs w:val="20"/>
        </w:rPr>
        <w:t xml:space="preserve"> based on the information provided in the self-review portfolio and the review.</w:t>
      </w:r>
    </w:p>
    <w:p w:rsidR="00411F95" w:rsidRPr="009F5FF8" w:rsidRDefault="00411F95" w:rsidP="00411F95">
      <w:pPr>
        <w:numPr>
          <w:ilvl w:val="0"/>
          <w:numId w:val="1"/>
        </w:numPr>
        <w:tabs>
          <w:tab w:val="clear" w:pos="720"/>
        </w:tabs>
        <w:spacing w:before="60" w:after="60"/>
        <w:ind w:left="357" w:hanging="357"/>
        <w:rPr>
          <w:rStyle w:val="Emphasis"/>
          <w:rFonts w:ascii="Cambria" w:hAnsi="Cambria" w:cs="Arial"/>
          <w:i w:val="0"/>
          <w:sz w:val="22"/>
          <w:szCs w:val="20"/>
        </w:rPr>
      </w:pPr>
      <w:r w:rsidRPr="009F5FF8">
        <w:rPr>
          <w:rFonts w:ascii="Cambria" w:hAnsi="Cambria" w:cs="Arial"/>
          <w:sz w:val="22"/>
          <w:szCs w:val="20"/>
        </w:rPr>
        <w:t>The classification of the grouping as a unit, centre or institute and its justification in terms of the URC guidelines for nomenclature, as approved by Senate and Council. Based on examples of good practice nationally and internationally, these guidelines aim to provide some consistency in nomenclature across the University</w:t>
      </w:r>
      <w:r w:rsidRPr="009F5FF8">
        <w:rPr>
          <w:rStyle w:val="Emphasis"/>
          <w:rFonts w:ascii="Cambria" w:hAnsi="Cambria" w:cs="Arial"/>
          <w:sz w:val="22"/>
          <w:szCs w:val="20"/>
        </w:rPr>
        <w:t>.</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 xml:space="preserve">The review process itself and ways in which it may be improved. </w:t>
      </w:r>
    </w:p>
    <w:p w:rsidR="00411F95" w:rsidRPr="009F5FF8" w:rsidRDefault="00411F95" w:rsidP="00411F95">
      <w:pPr>
        <w:numPr>
          <w:ilvl w:val="0"/>
          <w:numId w:val="1"/>
        </w:numPr>
        <w:tabs>
          <w:tab w:val="clear" w:pos="720"/>
        </w:tabs>
        <w:spacing w:before="60" w:after="60"/>
        <w:ind w:left="357" w:hanging="357"/>
        <w:outlineLvl w:val="1"/>
        <w:rPr>
          <w:rStyle w:val="Emphasis"/>
          <w:rFonts w:ascii="Cambria" w:hAnsi="Cambria" w:cs="Arial"/>
          <w:i w:val="0"/>
          <w:sz w:val="22"/>
          <w:szCs w:val="20"/>
        </w:rPr>
      </w:pPr>
      <w:r w:rsidRPr="009F5FF8">
        <w:rPr>
          <w:rStyle w:val="Emphasis"/>
          <w:rFonts w:ascii="Cambria" w:hAnsi="Cambria" w:cs="Arial"/>
          <w:sz w:val="22"/>
          <w:szCs w:val="20"/>
        </w:rPr>
        <w:t>A succession plan that would effectively manage handover once a director retires.</w:t>
      </w:r>
    </w:p>
    <w:p w:rsidR="00411F95" w:rsidRPr="009F5FF8" w:rsidRDefault="00411F95" w:rsidP="00411F95">
      <w:pPr>
        <w:ind w:left="567"/>
        <w:outlineLvl w:val="1"/>
        <w:rPr>
          <w:rStyle w:val="Emphasis"/>
          <w:rFonts w:ascii="Cambria" w:hAnsi="Cambria" w:cs="Arial"/>
          <w:i w:val="0"/>
          <w:sz w:val="22"/>
          <w:szCs w:val="20"/>
        </w:rPr>
      </w:pPr>
    </w:p>
    <w:p w:rsidR="00411F95" w:rsidRPr="009F5FF8" w:rsidRDefault="00411F95" w:rsidP="00411F95">
      <w:pPr>
        <w:tabs>
          <w:tab w:val="left" w:pos="709"/>
        </w:tabs>
        <w:rPr>
          <w:rFonts w:ascii="Cambria" w:hAnsi="Cambria" w:cs="Arial"/>
          <w:sz w:val="22"/>
          <w:szCs w:val="20"/>
        </w:rPr>
      </w:pPr>
      <w:r w:rsidRPr="009F5FF8">
        <w:rPr>
          <w:rFonts w:ascii="Cambria" w:hAnsi="Cambria" w:cs="Arial"/>
          <w:sz w:val="22"/>
          <w:szCs w:val="20"/>
        </w:rPr>
        <w:t xml:space="preserve">(In cases where there is not much critical mass and the existence of a unit depends on the research interest of the director, it is acceptable not to have a succession plan in place, on condition that the relevant Faculty accepts that the unit will be de-credited when the leadership retires or leaves the institution.) </w:t>
      </w:r>
    </w:p>
    <w:p w:rsidR="00411F95" w:rsidRPr="009F5FF8" w:rsidRDefault="00411F95" w:rsidP="00411F95">
      <w:pPr>
        <w:ind w:left="360"/>
        <w:outlineLvl w:val="1"/>
        <w:rPr>
          <w:rStyle w:val="Emphasis"/>
          <w:rFonts w:ascii="Cambria" w:hAnsi="Cambria" w:cs="Arial"/>
          <w:i w:val="0"/>
          <w:sz w:val="22"/>
          <w:szCs w:val="20"/>
        </w:rPr>
      </w:pPr>
    </w:p>
    <w:p w:rsidR="00411F95" w:rsidRPr="009F5FF8" w:rsidRDefault="00411F95" w:rsidP="00411F95">
      <w:pPr>
        <w:ind w:left="360"/>
        <w:outlineLvl w:val="1"/>
        <w:rPr>
          <w:rStyle w:val="Emphasis"/>
          <w:rFonts w:ascii="Cambria" w:hAnsi="Cambria" w:cs="Arial"/>
          <w:i w:val="0"/>
          <w:sz w:val="20"/>
          <w:szCs w:val="20"/>
        </w:rPr>
        <w:sectPr w:rsidR="00411F95" w:rsidRPr="009F5FF8" w:rsidSect="00845B70">
          <w:pgSz w:w="11906" w:h="16838" w:code="9"/>
          <w:pgMar w:top="1134" w:right="991" w:bottom="993" w:left="1134" w:header="709" w:footer="637" w:gutter="0"/>
          <w:cols w:space="708"/>
          <w:docGrid w:linePitch="360"/>
        </w:sectPr>
      </w:pPr>
    </w:p>
    <w:p w:rsidR="00D54EC1" w:rsidRDefault="00AA6EE2"/>
    <w:sectPr w:rsidR="00D54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D1158"/>
    <w:multiLevelType w:val="hybridMultilevel"/>
    <w:tmpl w:val="0750E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95"/>
    <w:rsid w:val="00411F95"/>
    <w:rsid w:val="0045367D"/>
    <w:rsid w:val="00630A59"/>
    <w:rsid w:val="00AA6EE2"/>
    <w:rsid w:val="00D47DF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95"/>
    <w:pPr>
      <w:spacing w:after="0" w:line="240" w:lineRule="auto"/>
    </w:pPr>
    <w:rPr>
      <w:rFonts w:ascii="Times New Roman" w:eastAsia="Times New Roman" w:hAnsi="Times New Roman" w:cs="Times New Roman"/>
      <w:sz w:val="24"/>
      <w:szCs w:val="24"/>
      <w:lang w:val="en-GB"/>
    </w:rPr>
  </w:style>
  <w:style w:type="paragraph" w:styleId="Heading2">
    <w:name w:val="heading 2"/>
    <w:aliases w:val="not to use for PC,postgrad headings"/>
    <w:basedOn w:val="Normal"/>
    <w:next w:val="Normal"/>
    <w:link w:val="Heading2Char"/>
    <w:qFormat/>
    <w:rsid w:val="00411F95"/>
    <w:pPr>
      <w:keepNext/>
      <w:pBdr>
        <w:top w:val="single" w:sz="6" w:space="1" w:color="auto"/>
        <w:bottom w:val="single" w:sz="6" w:space="1" w:color="auto"/>
      </w:pBdr>
      <w:shd w:val="pct10" w:color="auto" w:fill="auto"/>
      <w:spacing w:before="240" w:after="60"/>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ot to use for PC Char,postgrad headings Char"/>
    <w:basedOn w:val="DefaultParagraphFont"/>
    <w:link w:val="Heading2"/>
    <w:rsid w:val="00411F95"/>
    <w:rPr>
      <w:rFonts w:ascii="Times New Roman" w:eastAsia="Times New Roman" w:hAnsi="Times New Roman" w:cs="Times New Roman"/>
      <w:b/>
      <w:caps/>
      <w:sz w:val="24"/>
      <w:szCs w:val="20"/>
      <w:shd w:val="pct10" w:color="auto" w:fill="auto"/>
      <w:lang w:val="en-GB"/>
    </w:rPr>
  </w:style>
  <w:style w:type="character" w:styleId="Emphasis">
    <w:name w:val="Emphasis"/>
    <w:basedOn w:val="DefaultParagraphFont"/>
    <w:qFormat/>
    <w:rsid w:val="00411F95"/>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95"/>
    <w:pPr>
      <w:spacing w:after="0" w:line="240" w:lineRule="auto"/>
    </w:pPr>
    <w:rPr>
      <w:rFonts w:ascii="Times New Roman" w:eastAsia="Times New Roman" w:hAnsi="Times New Roman" w:cs="Times New Roman"/>
      <w:sz w:val="24"/>
      <w:szCs w:val="24"/>
      <w:lang w:val="en-GB"/>
    </w:rPr>
  </w:style>
  <w:style w:type="paragraph" w:styleId="Heading2">
    <w:name w:val="heading 2"/>
    <w:aliases w:val="not to use for PC,postgrad headings"/>
    <w:basedOn w:val="Normal"/>
    <w:next w:val="Normal"/>
    <w:link w:val="Heading2Char"/>
    <w:qFormat/>
    <w:rsid w:val="00411F95"/>
    <w:pPr>
      <w:keepNext/>
      <w:pBdr>
        <w:top w:val="single" w:sz="6" w:space="1" w:color="auto"/>
        <w:bottom w:val="single" w:sz="6" w:space="1" w:color="auto"/>
      </w:pBdr>
      <w:shd w:val="pct10" w:color="auto" w:fill="auto"/>
      <w:spacing w:before="240" w:after="60"/>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ot to use for PC Char,postgrad headings Char"/>
    <w:basedOn w:val="DefaultParagraphFont"/>
    <w:link w:val="Heading2"/>
    <w:rsid w:val="00411F95"/>
    <w:rPr>
      <w:rFonts w:ascii="Times New Roman" w:eastAsia="Times New Roman" w:hAnsi="Times New Roman" w:cs="Times New Roman"/>
      <w:b/>
      <w:caps/>
      <w:sz w:val="24"/>
      <w:szCs w:val="20"/>
      <w:shd w:val="pct10" w:color="auto" w:fill="auto"/>
      <w:lang w:val="en-GB"/>
    </w:rPr>
  </w:style>
  <w:style w:type="character" w:styleId="Emphasis">
    <w:name w:val="Emphasis"/>
    <w:basedOn w:val="DefaultParagraphFont"/>
    <w:qFormat/>
    <w:rsid w:val="00411F9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1521</Characters>
  <Application>Microsoft Macintosh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Natalie Simon</cp:lastModifiedBy>
  <cp:revision>2</cp:revision>
  <dcterms:created xsi:type="dcterms:W3CDTF">2017-07-12T13:22:00Z</dcterms:created>
  <dcterms:modified xsi:type="dcterms:W3CDTF">2017-07-12T13:22:00Z</dcterms:modified>
</cp:coreProperties>
</file>